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8B" w:rsidRDefault="00C04241">
      <w:pPr>
        <w:jc w:val="center"/>
      </w:pPr>
      <w:r>
        <w:t xml:space="preserve">HISTORY 369—Fall </w:t>
      </w:r>
      <w:r w:rsidR="00D76F02">
        <w:t>2014</w:t>
      </w:r>
    </w:p>
    <w:p w:rsidR="00F4608B" w:rsidRDefault="00F4608B">
      <w:pPr>
        <w:jc w:val="center"/>
      </w:pPr>
    </w:p>
    <w:p w:rsidR="00F4608B" w:rsidRDefault="00F4608B">
      <w:pPr>
        <w:tabs>
          <w:tab w:val="center" w:pos="4680"/>
        </w:tabs>
      </w:pPr>
      <w:r>
        <w:tab/>
        <w:t>THE HISTORY OF PUBLIC HEALTH AND EPIDEMIC DISEASE IN AMERICA</w:t>
      </w:r>
    </w:p>
    <w:p w:rsidR="000027A0" w:rsidRDefault="000027A0">
      <w:pPr>
        <w:tabs>
          <w:tab w:val="center" w:pos="4680"/>
        </w:tabs>
      </w:pPr>
    </w:p>
    <w:p w:rsidR="00F4608B" w:rsidRDefault="00F4608B"/>
    <w:p w:rsidR="00F4608B" w:rsidRDefault="00F4608B"/>
    <w:p w:rsidR="00F4608B" w:rsidRDefault="00F4608B">
      <w:r>
        <w:t xml:space="preserve">I.   </w:t>
      </w:r>
      <w:r>
        <w:rPr>
          <w:u w:val="single"/>
        </w:rPr>
        <w:t>Instructor</w:t>
      </w:r>
      <w:r w:rsidR="00D76F02">
        <w:rPr>
          <w:u w:val="single"/>
        </w:rPr>
        <w:t>s</w:t>
      </w:r>
      <w:r>
        <w:tab/>
      </w:r>
      <w:r>
        <w:tab/>
      </w:r>
      <w:r>
        <w:tab/>
        <w:t>Margaret Humphreys, M.D., Ph.D.</w:t>
      </w:r>
    </w:p>
    <w:p w:rsidR="00F4608B" w:rsidRDefault="00F4608B">
      <w:pPr>
        <w:ind w:firstLine="3600"/>
      </w:pPr>
      <w:r>
        <w:t>206 Carr Building</w:t>
      </w:r>
    </w:p>
    <w:p w:rsidR="00F4608B" w:rsidRDefault="00F4608B">
      <w:pPr>
        <w:ind w:firstLine="3600"/>
      </w:pPr>
      <w:r>
        <w:t>684-2285</w:t>
      </w:r>
    </w:p>
    <w:p w:rsidR="00F4608B" w:rsidRDefault="00F4608B">
      <w:pPr>
        <w:ind w:firstLine="3600"/>
      </w:pPr>
      <w:hyperlink r:id="rId7" w:history="1">
        <w:r w:rsidRPr="00144CF1">
          <w:rPr>
            <w:rStyle w:val="Hyperlink"/>
          </w:rPr>
          <w:t>meh@duke.edu</w:t>
        </w:r>
      </w:hyperlink>
    </w:p>
    <w:p w:rsidR="00F4608B" w:rsidRDefault="00F4608B" w:rsidP="00F4608B">
      <w:pPr>
        <w:ind w:firstLine="3600"/>
      </w:pPr>
      <w:r>
        <w:t>Office hours by appointment</w:t>
      </w:r>
    </w:p>
    <w:p w:rsidR="00D76F02" w:rsidRDefault="00D76F02" w:rsidP="00F4608B">
      <w:pPr>
        <w:ind w:firstLine="3600"/>
      </w:pPr>
    </w:p>
    <w:p w:rsidR="00D76F02" w:rsidRDefault="00D76F02" w:rsidP="00D76F02">
      <w:r>
        <w:t xml:space="preserve"> </w:t>
      </w:r>
      <w:r>
        <w:tab/>
      </w:r>
      <w:r>
        <w:tab/>
      </w:r>
      <w:r>
        <w:tab/>
      </w:r>
      <w:r>
        <w:tab/>
        <w:t>Ashton Merck (grader)</w:t>
      </w:r>
    </w:p>
    <w:p w:rsidR="00D76F02" w:rsidRDefault="00D76F02" w:rsidP="00D76F02">
      <w:r>
        <w:tab/>
      </w:r>
      <w:r>
        <w:tab/>
      </w:r>
      <w:r>
        <w:tab/>
      </w:r>
      <w:r>
        <w:tab/>
      </w:r>
      <w:r>
        <w:tab/>
      </w:r>
      <w:hyperlink r:id="rId8" w:history="1">
        <w:r w:rsidR="00121A6D" w:rsidRPr="00910070">
          <w:rPr>
            <w:rStyle w:val="Hyperlink"/>
          </w:rPr>
          <w:t>ashton.merck@duke.edu</w:t>
        </w:r>
      </w:hyperlink>
    </w:p>
    <w:p w:rsidR="00121A6D" w:rsidRDefault="00121A6D" w:rsidP="00D76F02">
      <w:r>
        <w:tab/>
      </w:r>
      <w:r>
        <w:tab/>
      </w:r>
      <w:r>
        <w:tab/>
      </w:r>
      <w:r>
        <w:tab/>
      </w:r>
      <w:r>
        <w:tab/>
        <w:t>Office hours by appointment</w:t>
      </w:r>
    </w:p>
    <w:p w:rsidR="00372120" w:rsidRDefault="00372120" w:rsidP="00F4608B">
      <w:pPr>
        <w:ind w:firstLine="3600"/>
      </w:pPr>
    </w:p>
    <w:p w:rsidR="00F4608B" w:rsidRPr="009E778B" w:rsidRDefault="00372120" w:rsidP="009F03CE">
      <w:r>
        <w:t xml:space="preserve">     </w:t>
      </w:r>
    </w:p>
    <w:p w:rsidR="00F4608B" w:rsidRDefault="00F4608B">
      <w:pPr>
        <w:rPr>
          <w:u w:val="single"/>
        </w:rPr>
      </w:pPr>
      <w:r>
        <w:t>II.</w:t>
      </w:r>
      <w:r>
        <w:tab/>
      </w:r>
      <w:r>
        <w:rPr>
          <w:u w:val="single"/>
        </w:rPr>
        <w:t>Texts</w:t>
      </w:r>
    </w:p>
    <w:p w:rsidR="00F4608B" w:rsidRDefault="00F4608B"/>
    <w:p w:rsidR="00F4608B" w:rsidRDefault="00F4608B">
      <w:pPr>
        <w:ind w:left="720"/>
      </w:pPr>
      <w:r>
        <w:t xml:space="preserve">Jared Diamond, </w:t>
      </w:r>
      <w:r w:rsidRPr="00610EF7">
        <w:rPr>
          <w:i/>
        </w:rPr>
        <w:t>Guns, Germs, and Steel: The Fates of Human Societies</w:t>
      </w:r>
      <w:r>
        <w:t xml:space="preserve"> (New York: W.W. Norton, 1997)</w:t>
      </w:r>
    </w:p>
    <w:p w:rsidR="00D76F02" w:rsidRDefault="00D76F02">
      <w:pPr>
        <w:ind w:left="720"/>
      </w:pPr>
    </w:p>
    <w:p w:rsidR="00D76F02" w:rsidRDefault="00D76F02">
      <w:pPr>
        <w:ind w:left="720"/>
      </w:pPr>
      <w:r>
        <w:t xml:space="preserve">Jonathan Engel, </w:t>
      </w:r>
      <w:r w:rsidRPr="00121A6D">
        <w:rPr>
          <w:i/>
        </w:rPr>
        <w:t>The Epidemic: A History of AIDS</w:t>
      </w:r>
      <w:r>
        <w:t xml:space="preserve"> (Smithsonian, 2006)</w:t>
      </w:r>
    </w:p>
    <w:p w:rsidR="00F4608B" w:rsidRDefault="00F4608B">
      <w:pPr>
        <w:ind w:left="720"/>
      </w:pPr>
    </w:p>
    <w:p w:rsidR="00F4608B" w:rsidRDefault="00F4608B">
      <w:pPr>
        <w:ind w:left="720"/>
      </w:pPr>
      <w:r>
        <w:t xml:space="preserve">Margaret Humphreys, </w:t>
      </w:r>
      <w:r w:rsidRPr="00610EF7">
        <w:rPr>
          <w:i/>
        </w:rPr>
        <w:t>Yellow Fever and the South</w:t>
      </w:r>
      <w:r>
        <w:t xml:space="preserve"> (1</w:t>
      </w:r>
      <w:r>
        <w:rPr>
          <w:vertAlign w:val="superscript"/>
        </w:rPr>
        <w:t>st</w:t>
      </w:r>
      <w:r>
        <w:t xml:space="preserve"> pub. 1992; Baltimore: The Johns Hopkins University Press, 1998).</w:t>
      </w:r>
    </w:p>
    <w:p w:rsidR="00F4608B" w:rsidRDefault="00F4608B">
      <w:pPr>
        <w:ind w:left="720"/>
      </w:pPr>
    </w:p>
    <w:p w:rsidR="00F4608B" w:rsidRDefault="00F4608B">
      <w:pPr>
        <w:ind w:left="720"/>
      </w:pPr>
      <w:r>
        <w:t xml:space="preserve">Alan Kraut, </w:t>
      </w:r>
      <w:r w:rsidRPr="00610EF7">
        <w:rPr>
          <w:i/>
        </w:rPr>
        <w:t>Silent Travelers: Germs, Genes and the “Immigrant Menace”</w:t>
      </w:r>
      <w:r>
        <w:t xml:space="preserve"> (1</w:t>
      </w:r>
      <w:r>
        <w:rPr>
          <w:vertAlign w:val="superscript"/>
        </w:rPr>
        <w:t>st</w:t>
      </w:r>
      <w:r>
        <w:t xml:space="preserve"> pub. 1994; Baltimore: Johns Hopkins Press, 1995).</w:t>
      </w:r>
    </w:p>
    <w:p w:rsidR="00F4608B" w:rsidRDefault="00F4608B">
      <w:pPr>
        <w:ind w:left="720"/>
      </w:pPr>
    </w:p>
    <w:p w:rsidR="00F4608B" w:rsidRDefault="00F4608B">
      <w:pPr>
        <w:ind w:left="720"/>
      </w:pPr>
      <w:r>
        <w:t xml:space="preserve">Charles Rosenberg, </w:t>
      </w:r>
      <w:r w:rsidRPr="00610EF7">
        <w:rPr>
          <w:i/>
        </w:rPr>
        <w:t>The Cholera Years</w:t>
      </w:r>
      <w:r>
        <w:t xml:space="preserve"> (Chicago: The University of Chicago Press, 1962).</w:t>
      </w:r>
    </w:p>
    <w:p w:rsidR="00F4608B" w:rsidRDefault="00F4608B">
      <w:pPr>
        <w:ind w:left="720"/>
      </w:pPr>
    </w:p>
    <w:p w:rsidR="00F4608B" w:rsidRDefault="00F4608B">
      <w:pPr>
        <w:ind w:left="720"/>
      </w:pPr>
      <w:r>
        <w:t xml:space="preserve">All texts have been ordered at The Regulator Bookshop on Ninth Street and </w:t>
      </w:r>
      <w:r w:rsidR="00814798">
        <w:t>may also be at the bookstore in the Bryan Center</w:t>
      </w:r>
      <w:r w:rsidR="00610EF7">
        <w:t xml:space="preserve"> or online</w:t>
      </w:r>
      <w:r w:rsidR="00814798">
        <w:t xml:space="preserve">. </w:t>
      </w:r>
      <w:r w:rsidR="008E7F5E">
        <w:t>Other readings are on</w:t>
      </w:r>
      <w:r w:rsidR="009F03CE">
        <w:t xml:space="preserve"> Sakai</w:t>
      </w:r>
      <w:r w:rsidR="008E7F5E">
        <w:t>.</w:t>
      </w:r>
    </w:p>
    <w:p w:rsidR="00F4608B" w:rsidRDefault="00F4608B"/>
    <w:p w:rsidR="00F4608B" w:rsidRDefault="00F4608B"/>
    <w:p w:rsidR="00F4608B" w:rsidRDefault="00610EF7">
      <w:r w:rsidRPr="00610EF7">
        <w:t xml:space="preserve">III.  </w:t>
      </w:r>
      <w:r w:rsidRPr="00610EF7">
        <w:tab/>
      </w:r>
      <w:r w:rsidR="00F4608B" w:rsidRPr="00AD7917">
        <w:rPr>
          <w:u w:val="single"/>
        </w:rPr>
        <w:t>Assignments</w:t>
      </w:r>
      <w:r w:rsidR="00F4608B">
        <w:t>:</w:t>
      </w:r>
    </w:p>
    <w:p w:rsidR="00F4608B" w:rsidRDefault="00F4608B"/>
    <w:p w:rsidR="00F4608B" w:rsidRDefault="00D76F02">
      <w:pPr>
        <w:numPr>
          <w:ilvl w:val="0"/>
          <w:numId w:val="1"/>
        </w:numPr>
      </w:pPr>
      <w:r>
        <w:t>Final examination</w:t>
      </w:r>
    </w:p>
    <w:p w:rsidR="00F4608B" w:rsidRDefault="00F4608B">
      <w:pPr>
        <w:ind w:left="1080"/>
      </w:pPr>
      <w:r>
        <w:t xml:space="preserve">  </w:t>
      </w:r>
      <w:r>
        <w:tab/>
      </w:r>
    </w:p>
    <w:p w:rsidR="00F4608B" w:rsidRDefault="00F4608B" w:rsidP="00D76F02">
      <w:pPr>
        <w:ind w:left="1440"/>
      </w:pPr>
      <w:r>
        <w:t xml:space="preserve">Final will be a take-home exam, handed out last day of class and due </w:t>
      </w:r>
      <w:r w:rsidR="0087193E">
        <w:t>Dec. 15</w:t>
      </w:r>
      <w:r w:rsidR="00F06CA4">
        <w:t xml:space="preserve"> at 5</w:t>
      </w:r>
      <w:r w:rsidR="00403926">
        <w:t xml:space="preserve"> pm.</w:t>
      </w:r>
    </w:p>
    <w:p w:rsidR="00F4608B" w:rsidRDefault="00F4608B">
      <w:pPr>
        <w:ind w:left="1080"/>
      </w:pPr>
    </w:p>
    <w:p w:rsidR="00F4608B" w:rsidRDefault="00F4608B">
      <w:pPr>
        <w:numPr>
          <w:ilvl w:val="0"/>
          <w:numId w:val="1"/>
        </w:numPr>
      </w:pPr>
      <w:r>
        <w:t>Two pa</w:t>
      </w:r>
      <w:r w:rsidR="00477A46">
        <w:t xml:space="preserve">pers; topics </w:t>
      </w:r>
      <w:r w:rsidR="00121A6D">
        <w:t xml:space="preserve">listed under resources on Sakai.  </w:t>
      </w:r>
      <w:r w:rsidR="001D4696">
        <w:t xml:space="preserve">Late papers will be penalized by </w:t>
      </w:r>
      <w:r w:rsidR="001D4696">
        <w:lastRenderedPageBreak/>
        <w:t xml:space="preserve">a drop in grade. </w:t>
      </w:r>
      <w:r w:rsidR="0087193E">
        <w:t xml:space="preserve">Penalty is 1/3 grade per day (e.g. if paper earns a B+, then one day late = B, two days late = B-, etc.)  </w:t>
      </w:r>
      <w:r w:rsidR="001F4DFD">
        <w:t xml:space="preserve">If </w:t>
      </w:r>
      <w:r w:rsidR="004139C8">
        <w:t>we</w:t>
      </w:r>
      <w:r w:rsidR="001F4DFD">
        <w:t xml:space="preserve"> do not have your paper by the time </w:t>
      </w:r>
      <w:r w:rsidR="004139C8">
        <w:t>designated we</w:t>
      </w:r>
      <w:r w:rsidR="001F4DFD">
        <w:t xml:space="preserve"> will n</w:t>
      </w:r>
      <w:r w:rsidR="004139C8">
        <w:t>otify you by email so you know we</w:t>
      </w:r>
      <w:r w:rsidR="001F4DFD">
        <w:t xml:space="preserve"> don’t have it. Sometimes computer glitches happen (</w:t>
      </w:r>
      <w:r w:rsidR="000D6BC1">
        <w:t xml:space="preserve">do tell!) </w:t>
      </w:r>
      <w:r w:rsidR="001F4DFD">
        <w:t xml:space="preserve">or papers get otherwise lost. </w:t>
      </w:r>
      <w:r w:rsidR="001D4696">
        <w:t>Papers can be turned in as printed out documents (preferred) or by email.</w:t>
      </w:r>
    </w:p>
    <w:p w:rsidR="00E04781" w:rsidRDefault="00E04781">
      <w:pPr>
        <w:ind w:left="1440"/>
      </w:pPr>
    </w:p>
    <w:p w:rsidR="00F4608B" w:rsidRDefault="002D417F">
      <w:pPr>
        <w:ind w:left="1440"/>
      </w:pPr>
      <w:r>
        <w:t>#1—7-8</w:t>
      </w:r>
      <w:r w:rsidR="00F4608B">
        <w:t xml:space="preserve"> page paper </w:t>
      </w:r>
      <w:r>
        <w:t xml:space="preserve">due </w:t>
      </w:r>
      <w:r w:rsidR="0087193E">
        <w:t>09/23</w:t>
      </w:r>
      <w:r w:rsidR="00B23067">
        <w:t>/201</w:t>
      </w:r>
      <w:r w:rsidR="0087193E">
        <w:t>4</w:t>
      </w:r>
      <w:r w:rsidR="000D6BC1">
        <w:t xml:space="preserve">, </w:t>
      </w:r>
      <w:r w:rsidR="001D4696">
        <w:t>by 2 pm.</w:t>
      </w:r>
    </w:p>
    <w:p w:rsidR="00121A6D" w:rsidRPr="00AD7013" w:rsidRDefault="00121A6D">
      <w:pPr>
        <w:ind w:left="1440"/>
      </w:pPr>
    </w:p>
    <w:p w:rsidR="00F4608B" w:rsidRDefault="00F4608B">
      <w:pPr>
        <w:ind w:left="1440"/>
      </w:pPr>
      <w:r w:rsidRPr="00AD7013">
        <w:t>#2</w:t>
      </w:r>
      <w:r w:rsidR="002D417F">
        <w:t xml:space="preserve">—8-10 page paper due </w:t>
      </w:r>
      <w:r w:rsidR="0087193E">
        <w:t>11/18</w:t>
      </w:r>
      <w:r w:rsidR="000D6BC1">
        <w:t>/</w:t>
      </w:r>
      <w:r w:rsidR="001033A3">
        <w:t>201</w:t>
      </w:r>
      <w:r w:rsidR="00121A6D">
        <w:t>4</w:t>
      </w:r>
      <w:r w:rsidR="001D4696">
        <w:t>, by 2 pm.</w:t>
      </w:r>
    </w:p>
    <w:p w:rsidR="00E04781" w:rsidRDefault="00E04781" w:rsidP="00E04781"/>
    <w:p w:rsidR="00E04781" w:rsidRDefault="00E04781" w:rsidP="00E04781">
      <w:pPr>
        <w:ind w:left="720"/>
      </w:pPr>
      <w:r>
        <w:t xml:space="preserve">3.    Readings should be done for the class under which they are listed in the syllabus. </w:t>
      </w:r>
    </w:p>
    <w:p w:rsidR="00403926" w:rsidRDefault="00E04781" w:rsidP="00E04781">
      <w:pPr>
        <w:ind w:left="720"/>
      </w:pPr>
      <w:r>
        <w:t xml:space="preserve">      The readings come either from the assigned books or from pdfs posted on</w:t>
      </w:r>
    </w:p>
    <w:p w:rsidR="001F4DFD" w:rsidRDefault="00E04781" w:rsidP="001F4DFD">
      <w:r>
        <w:t xml:space="preserve"> </w:t>
      </w:r>
      <w:r w:rsidR="00403926">
        <w:t xml:space="preserve">     </w:t>
      </w:r>
      <w:r w:rsidR="001F4DFD">
        <w:tab/>
        <w:t xml:space="preserve">      </w:t>
      </w:r>
      <w:r w:rsidR="00403926">
        <w:t>Sakai</w:t>
      </w:r>
      <w:r w:rsidR="008E7F5E">
        <w:t>.</w:t>
      </w:r>
      <w:r w:rsidR="001F4DFD" w:rsidRPr="001F4DFD">
        <w:t xml:space="preserve"> </w:t>
      </w:r>
    </w:p>
    <w:p w:rsidR="00D76F02" w:rsidRDefault="00D76F02" w:rsidP="001F4DFD"/>
    <w:p w:rsidR="00D76F02" w:rsidRDefault="00D76F02" w:rsidP="00D76F02">
      <w:pPr>
        <w:numPr>
          <w:ilvl w:val="0"/>
          <w:numId w:val="3"/>
        </w:numPr>
      </w:pPr>
      <w:r>
        <w:t xml:space="preserve">10 </w:t>
      </w:r>
      <w:r w:rsidR="0087193E">
        <w:t xml:space="preserve">unannounced </w:t>
      </w:r>
      <w:r>
        <w:t>quizzes will occur during the course. They will be made up of short questions based on the readings for that day. The point of the quizzes is to encourage you to keep up with the readings and come to class prepared.  If you miss a class with a quiz for an excused reason (see below) then your quiz grade average will be based on the other completed quizzes. If you miss a quiz with no excuse, your grade for that quiz will be zero. Each quiz is worth 2 points, for a total of 20 points.</w:t>
      </w:r>
    </w:p>
    <w:p w:rsidR="001F4DFD" w:rsidRDefault="001F4DFD" w:rsidP="001F4DFD"/>
    <w:p w:rsidR="001F4DFD" w:rsidRDefault="001F4DFD" w:rsidP="001F4DFD">
      <w:pPr>
        <w:numPr>
          <w:ilvl w:val="0"/>
          <w:numId w:val="3"/>
        </w:numPr>
      </w:pPr>
      <w:r>
        <w:t>Attendance is expected. More than 4 unexcused absences will lead to reduction of your final grade. Contact me if you have a valid reason to miss class.</w:t>
      </w:r>
      <w:r w:rsidR="000D6BC1">
        <w:t xml:space="preserve"> If you are sick, submit a STINF</w:t>
      </w:r>
      <w:r>
        <w:t>. If you are away on university “business” (athletics, other representation) provide the usual forms.</w:t>
      </w:r>
    </w:p>
    <w:p w:rsidR="00E04781" w:rsidRDefault="00E04781" w:rsidP="00E04781">
      <w:pPr>
        <w:ind w:left="720"/>
      </w:pPr>
    </w:p>
    <w:p w:rsidR="00F4608B" w:rsidRDefault="00F4608B"/>
    <w:p w:rsidR="00F4608B" w:rsidRDefault="00610EF7" w:rsidP="00610EF7">
      <w:pPr>
        <w:rPr>
          <w:u w:val="single"/>
        </w:rPr>
      </w:pPr>
      <w:r w:rsidRPr="00610EF7">
        <w:t>IV.</w:t>
      </w:r>
      <w:r w:rsidRPr="00610EF7">
        <w:tab/>
      </w:r>
      <w:r w:rsidR="00F4608B">
        <w:rPr>
          <w:u w:val="single"/>
        </w:rPr>
        <w:t>Grading</w:t>
      </w:r>
    </w:p>
    <w:p w:rsidR="00F4608B" w:rsidRDefault="00F4608B"/>
    <w:p w:rsidR="00F4608B" w:rsidRDefault="00F4608B">
      <w:r>
        <w:t>The final grade is based on the papers and exams.  Percentages are as follows:</w:t>
      </w:r>
    </w:p>
    <w:p w:rsidR="00F4608B" w:rsidRDefault="00F4608B"/>
    <w:p w:rsidR="00F4608B" w:rsidRDefault="00F4608B">
      <w:r>
        <w:t xml:space="preserve">paper #1   </w:t>
      </w:r>
      <w:r>
        <w:tab/>
        <w:t>20%</w:t>
      </w:r>
    </w:p>
    <w:p w:rsidR="00F4608B" w:rsidRDefault="00F4608B">
      <w:r>
        <w:t xml:space="preserve">paper #2    </w:t>
      </w:r>
      <w:r>
        <w:tab/>
        <w:t>30%</w:t>
      </w:r>
    </w:p>
    <w:p w:rsidR="00F4608B" w:rsidRDefault="00D76F02">
      <w:r>
        <w:t>quizzes</w:t>
      </w:r>
      <w:r w:rsidR="00F4608B">
        <w:t xml:space="preserve">     </w:t>
      </w:r>
      <w:r w:rsidR="00F4608B">
        <w:tab/>
        <w:t>20%</w:t>
      </w:r>
    </w:p>
    <w:p w:rsidR="00F4608B" w:rsidRDefault="00F4608B">
      <w:r>
        <w:t xml:space="preserve">final           </w:t>
      </w:r>
      <w:r>
        <w:tab/>
        <w:t>30%</w:t>
      </w:r>
    </w:p>
    <w:p w:rsidR="00F4608B" w:rsidRDefault="00F4608B"/>
    <w:p w:rsidR="00F4608B" w:rsidRDefault="00F4608B"/>
    <w:p w:rsidR="00D76F02" w:rsidRDefault="00D76F02">
      <w:r>
        <w:t xml:space="preserve">You may rewrite one or both papers if you feel you can do better and raise your grade by doing so.  Feel free to talk to one of us about revision. Just fixing typos won’t make much difference; substantive revision </w:t>
      </w:r>
      <w:r w:rsidRPr="0087193E">
        <w:rPr>
          <w:u w:val="single"/>
        </w:rPr>
        <w:t>might</w:t>
      </w:r>
      <w:r>
        <w:t xml:space="preserve"> raise your grade.  To be considered revised papers must be turned in by the last day of class.</w:t>
      </w:r>
    </w:p>
    <w:p w:rsidR="00D76F02" w:rsidRDefault="00D76F02"/>
    <w:p w:rsidR="001D4696" w:rsidRDefault="0087193E">
      <w:r>
        <w:t>Our</w:t>
      </w:r>
      <w:r w:rsidR="00F4608B">
        <w:t xml:space="preserve"> grades are due 48 hours after the final. Once turned in they cannot be changed for any reason except clerical error.  Given the multiple components of your grade you’ll have plenty of feedback about how you’re d</w:t>
      </w:r>
      <w:r w:rsidR="004139C8">
        <w:t>oing. Come talk to us</w:t>
      </w:r>
      <w:r w:rsidR="00814798">
        <w:t xml:space="preserve"> </w:t>
      </w:r>
      <w:r w:rsidR="00F4608B">
        <w:t xml:space="preserve">if you have concerns.  Email or phone and </w:t>
      </w:r>
      <w:r w:rsidR="00F4608B">
        <w:lastRenderedPageBreak/>
        <w:t xml:space="preserve">we’ll set up a time, or drop by 206 Carr Building. </w:t>
      </w:r>
    </w:p>
    <w:p w:rsidR="00FE73B8" w:rsidRDefault="00FE73B8"/>
    <w:p w:rsidR="00FE73B8" w:rsidRDefault="00FE73B8" w:rsidP="00FE73B8">
      <w:r>
        <w:t>Laptops and tablets are allowed in class, but should be used for class-related purposes such as taking notes or looking up material relevant to the lecture.  Surfing the web, looking a</w:t>
      </w:r>
      <w:r w:rsidR="0087193E">
        <w:t>t</w:t>
      </w:r>
      <w:r>
        <w:t xml:space="preserve"> vi</w:t>
      </w:r>
      <w:r w:rsidR="00121A6D">
        <w:t>deos of cute kitties, updating F</w:t>
      </w:r>
      <w:r w:rsidR="0087193E">
        <w:t>acebook, or visitation to</w:t>
      </w:r>
      <w:r>
        <w:t xml:space="preserve"> other, non-relevant sites is inappropriate. It distracts those seated behind you, and lowers your attention to lecture.  Act like an adult, please, and don’t force me to ban laptops from the class room.</w:t>
      </w:r>
    </w:p>
    <w:p w:rsidR="00F4608B" w:rsidRDefault="00F4608B">
      <w:r>
        <w:br w:type="page"/>
      </w:r>
    </w:p>
    <w:p w:rsidR="00F4608B" w:rsidRDefault="00F4608B">
      <w:pPr>
        <w:sectPr w:rsidR="00F4608B">
          <w:footerReference w:type="even" r:id="rId9"/>
          <w:footerReference w:type="default" r:id="rId10"/>
          <w:endnotePr>
            <w:numFmt w:val="decimal"/>
          </w:endnotePr>
          <w:pgSz w:w="12240" w:h="15840"/>
          <w:pgMar w:top="1440" w:right="1440" w:bottom="1440" w:left="1440" w:header="1440" w:footer="1440" w:gutter="0"/>
          <w:cols w:space="720"/>
          <w:noEndnote/>
        </w:sectPr>
      </w:pPr>
    </w:p>
    <w:p w:rsidR="00F4608B" w:rsidRDefault="00867995">
      <w:r>
        <w:lastRenderedPageBreak/>
        <w:t>History 369</w:t>
      </w:r>
      <w:r w:rsidR="00F4608B">
        <w:t>: The History of Epidemic Disease and Public Health in America</w:t>
      </w:r>
    </w:p>
    <w:p w:rsidR="00F4608B" w:rsidRDefault="00F4608B"/>
    <w:p w:rsidR="00F4608B" w:rsidRDefault="00F4608B"/>
    <w:p w:rsidR="00F4608B" w:rsidRDefault="00F4608B"/>
    <w:p w:rsidR="00F4608B" w:rsidRDefault="005635CD">
      <w:r>
        <w:t>8/26</w:t>
      </w:r>
      <w:r w:rsidR="00F4608B">
        <w:tab/>
        <w:t>Introduction</w:t>
      </w:r>
    </w:p>
    <w:p w:rsidR="00F4608B" w:rsidRDefault="00F4608B"/>
    <w:p w:rsidR="00F4608B" w:rsidRDefault="005635CD">
      <w:r>
        <w:t>8/28</w:t>
      </w:r>
      <w:r w:rsidR="00F4608B">
        <w:tab/>
        <w:t>Historical Epidemiology of Infectious Disease</w:t>
      </w:r>
    </w:p>
    <w:p w:rsidR="00F4608B" w:rsidRDefault="00F4608B"/>
    <w:p w:rsidR="00F4608B" w:rsidRDefault="00F4608B">
      <w:r>
        <w:tab/>
      </w:r>
      <w:r>
        <w:tab/>
        <w:t xml:space="preserve">Reading: Diamond, </w:t>
      </w:r>
      <w:r w:rsidRPr="000D6BC1">
        <w:rPr>
          <w:i/>
        </w:rPr>
        <w:t>Guns, Germs and Steel</w:t>
      </w:r>
      <w:r>
        <w:t xml:space="preserve">, pp. 13-52, 85-92, 157-175, 195-214 </w:t>
      </w:r>
    </w:p>
    <w:p w:rsidR="00F4608B" w:rsidRDefault="00F4608B">
      <w:r>
        <w:t xml:space="preserve">                         (</w:t>
      </w:r>
      <w:r w:rsidR="00121A6D">
        <w:t>Prologue</w:t>
      </w:r>
      <w:r>
        <w:t>, chs. 1, 4, 9, 11)</w:t>
      </w:r>
    </w:p>
    <w:p w:rsidR="00F4608B" w:rsidRDefault="00F4608B"/>
    <w:p w:rsidR="00F4608B" w:rsidRDefault="005635CD">
      <w:r>
        <w:t>9/2</w:t>
      </w:r>
      <w:r w:rsidR="00F4608B">
        <w:t xml:space="preserve"> </w:t>
      </w:r>
      <w:r w:rsidR="00F4608B">
        <w:tab/>
        <w:t>Disease in the New World</w:t>
      </w:r>
    </w:p>
    <w:p w:rsidR="00F4608B" w:rsidRDefault="00F4608B"/>
    <w:p w:rsidR="00F4608B" w:rsidRDefault="00F4608B">
      <w:pPr>
        <w:ind w:left="720" w:firstLine="720"/>
      </w:pPr>
      <w:r>
        <w:t xml:space="preserve">Reading: Diamond, </w:t>
      </w:r>
      <w:r w:rsidRPr="000D6BC1">
        <w:rPr>
          <w:i/>
        </w:rPr>
        <w:t>Guns, Germs and Steel</w:t>
      </w:r>
      <w:r>
        <w:t>, pp. 67-81, 354-376 (chs. 3, 18)</w:t>
      </w:r>
    </w:p>
    <w:p w:rsidR="00F4608B" w:rsidRDefault="00F4608B"/>
    <w:p w:rsidR="00F4608B" w:rsidRDefault="005635CD">
      <w:r>
        <w:t>9/4</w:t>
      </w:r>
      <w:r w:rsidR="00F4608B">
        <w:t xml:space="preserve">     Smallpox in Colonial America</w:t>
      </w:r>
    </w:p>
    <w:p w:rsidR="00F4608B" w:rsidRDefault="00F4608B">
      <w:pPr>
        <w:pStyle w:val="Heading2"/>
        <w:ind w:left="1440"/>
        <w:rPr>
          <w:b w:val="0"/>
          <w:sz w:val="24"/>
          <w:szCs w:val="24"/>
        </w:rPr>
      </w:pPr>
      <w:r w:rsidRPr="00F43D95">
        <w:rPr>
          <w:b w:val="0"/>
          <w:sz w:val="24"/>
          <w:szCs w:val="24"/>
        </w:rPr>
        <w:t xml:space="preserve">Reading: John Blake, “The Inoculation Controversy in Boston, 1721-1722,” </w:t>
      </w:r>
      <w:r w:rsidRPr="000D6BC1">
        <w:rPr>
          <w:b w:val="0"/>
          <w:i/>
          <w:sz w:val="24"/>
          <w:szCs w:val="24"/>
        </w:rPr>
        <w:t>New England Quarterly</w:t>
      </w:r>
      <w:r>
        <w:rPr>
          <w:b w:val="0"/>
          <w:sz w:val="24"/>
          <w:szCs w:val="24"/>
        </w:rPr>
        <w:t xml:space="preserve"> 25 (1952): 489-506</w:t>
      </w:r>
      <w:r w:rsidRPr="00F43D95">
        <w:rPr>
          <w:b w:val="0"/>
          <w:sz w:val="24"/>
          <w:szCs w:val="24"/>
        </w:rPr>
        <w:t xml:space="preserve">; Elizabeth Fenn, “Biological Warfare in Eighteenth-Century North America: Beyond Jeffery Amherst,” </w:t>
      </w:r>
      <w:r w:rsidRPr="000D6BC1">
        <w:rPr>
          <w:b w:val="0"/>
          <w:i/>
          <w:sz w:val="24"/>
          <w:szCs w:val="24"/>
        </w:rPr>
        <w:t xml:space="preserve">Journal of American History </w:t>
      </w:r>
      <w:r w:rsidRPr="00F43D95">
        <w:rPr>
          <w:b w:val="0"/>
          <w:sz w:val="24"/>
          <w:szCs w:val="24"/>
        </w:rPr>
        <w:t xml:space="preserve">86 (2000): </w:t>
      </w:r>
      <w:r w:rsidR="008E7F5E">
        <w:rPr>
          <w:b w:val="0"/>
          <w:sz w:val="24"/>
          <w:szCs w:val="24"/>
        </w:rPr>
        <w:t>1552-1580.</w:t>
      </w:r>
    </w:p>
    <w:p w:rsidR="00F4608B" w:rsidRDefault="005635CD">
      <w:r>
        <w:t>9/9</w:t>
      </w:r>
      <w:r w:rsidR="00F4608B">
        <w:t xml:space="preserve">  </w:t>
      </w:r>
      <w:r w:rsidR="00F4608B">
        <w:tab/>
        <w:t>The 1793 Philadelphia Yellow Fever Epidemic</w:t>
      </w:r>
    </w:p>
    <w:p w:rsidR="00F4608B" w:rsidRDefault="00F4608B"/>
    <w:p w:rsidR="00F4608B" w:rsidRDefault="00F4608B">
      <w:pPr>
        <w:ind w:left="1440"/>
      </w:pPr>
      <w:r>
        <w:t xml:space="preserve">Reading: Martin S. Pernick, “Politics, Parties and Pestilence: Epidemic Yellow Fever in Philadelphia and the Rise of the First Party System,” </w:t>
      </w:r>
      <w:r w:rsidRPr="000D6BC1">
        <w:rPr>
          <w:i/>
        </w:rPr>
        <w:t>William and Mary Quarterly</w:t>
      </w:r>
      <w:r w:rsidR="008E7F5E" w:rsidRPr="000D6BC1">
        <w:rPr>
          <w:i/>
        </w:rPr>
        <w:t xml:space="preserve"> </w:t>
      </w:r>
      <w:r w:rsidR="008E7F5E">
        <w:t>29 (1972): 559-586.</w:t>
      </w:r>
    </w:p>
    <w:p w:rsidR="00F4608B" w:rsidRDefault="00F4608B"/>
    <w:p w:rsidR="00F4608B" w:rsidRDefault="005635CD">
      <w:r>
        <w:t>9/11</w:t>
      </w:r>
      <w:r w:rsidR="00F4608B">
        <w:tab/>
        <w:t>The Cholera Years, 1832</w:t>
      </w:r>
    </w:p>
    <w:p w:rsidR="00F4608B" w:rsidRDefault="00F4608B"/>
    <w:p w:rsidR="00F4608B" w:rsidRDefault="00F4608B">
      <w:pPr>
        <w:ind w:firstLine="1440"/>
      </w:pPr>
      <w:r>
        <w:t xml:space="preserve">Reading: Rosenberg, </w:t>
      </w:r>
      <w:r w:rsidRPr="000D6BC1">
        <w:rPr>
          <w:i/>
        </w:rPr>
        <w:t>Cholera Years</w:t>
      </w:r>
      <w:r>
        <w:t>, pp. 1-98.</w:t>
      </w:r>
    </w:p>
    <w:p w:rsidR="00F4608B" w:rsidRDefault="00F4608B"/>
    <w:p w:rsidR="00F4608B" w:rsidRDefault="005635CD">
      <w:r>
        <w:t>9/16</w:t>
      </w:r>
      <w:r w:rsidR="00F4608B">
        <w:tab/>
        <w:t>The Cholera Years</w:t>
      </w:r>
      <w:r w:rsidR="002D417F">
        <w:t xml:space="preserve"> and Civil War</w:t>
      </w:r>
      <w:r w:rsidR="00F4608B">
        <w:t>, 1849</w:t>
      </w:r>
      <w:r w:rsidR="002D417F">
        <w:t xml:space="preserve"> to 1865</w:t>
      </w:r>
    </w:p>
    <w:p w:rsidR="00F4608B" w:rsidRDefault="00F4608B"/>
    <w:p w:rsidR="00F4608B" w:rsidRDefault="00F4608B">
      <w:pPr>
        <w:ind w:left="1440"/>
      </w:pPr>
      <w:r>
        <w:t xml:space="preserve">Reading: Rosenberg, </w:t>
      </w:r>
      <w:r w:rsidRPr="000D6BC1">
        <w:rPr>
          <w:i/>
        </w:rPr>
        <w:t>Cholera Years</w:t>
      </w:r>
      <w:r>
        <w:t xml:space="preserve">, pp. 101-172; Kraut, </w:t>
      </w:r>
      <w:r w:rsidRPr="000D6BC1">
        <w:rPr>
          <w:i/>
        </w:rPr>
        <w:t>Silent Travelers</w:t>
      </w:r>
      <w:r w:rsidR="002D417F">
        <w:t xml:space="preserve">, pp. 31-49; Richard Shryock, “A Medical Perspective on the Civil War,” </w:t>
      </w:r>
      <w:r w:rsidR="002D417F" w:rsidRPr="000D6BC1">
        <w:rPr>
          <w:i/>
        </w:rPr>
        <w:t>American Quarterly</w:t>
      </w:r>
      <w:r w:rsidR="008E7F5E">
        <w:t xml:space="preserve"> 14 (1962): 161-173</w:t>
      </w:r>
      <w:r w:rsidR="002D417F">
        <w:t>.</w:t>
      </w:r>
    </w:p>
    <w:p w:rsidR="00F4608B" w:rsidRDefault="00F4608B"/>
    <w:p w:rsidR="00F4608B" w:rsidRDefault="005635CD">
      <w:r>
        <w:t>9/18</w:t>
      </w:r>
      <w:r w:rsidR="00F4608B">
        <w:tab/>
        <w:t xml:space="preserve">Disease in the 1860s </w:t>
      </w:r>
    </w:p>
    <w:p w:rsidR="00F4608B" w:rsidRDefault="00F4608B"/>
    <w:p w:rsidR="00F4608B" w:rsidRDefault="00F4608B">
      <w:pPr>
        <w:ind w:left="1440"/>
      </w:pPr>
      <w:r>
        <w:t xml:space="preserve">Reading: Rosenberg, </w:t>
      </w:r>
      <w:r w:rsidRPr="000D6BC1">
        <w:rPr>
          <w:i/>
        </w:rPr>
        <w:t>Cholera Years</w:t>
      </w:r>
      <w:r w:rsidR="002D417F">
        <w:t>, pp. 175-242;</w:t>
      </w:r>
      <w:r w:rsidR="00736F03">
        <w:t xml:space="preserve"> your chosen cholera essay. </w:t>
      </w:r>
    </w:p>
    <w:p w:rsidR="00F4608B" w:rsidRDefault="00F4608B"/>
    <w:p w:rsidR="00F4608B" w:rsidRDefault="00F4608B"/>
    <w:p w:rsidR="00F4608B" w:rsidRDefault="005635CD">
      <w:r>
        <w:t>9/23</w:t>
      </w:r>
      <w:r w:rsidR="00434FB4">
        <w:t xml:space="preserve">   </w:t>
      </w:r>
      <w:r w:rsidR="00F4608B">
        <w:t>Yellow Fever and the Origins of the “Germ Theory”</w:t>
      </w:r>
    </w:p>
    <w:p w:rsidR="00F4608B" w:rsidRDefault="00F4608B"/>
    <w:p w:rsidR="00F4608B" w:rsidRDefault="00F4608B">
      <w:r>
        <w:tab/>
      </w:r>
      <w:r>
        <w:tab/>
        <w:t xml:space="preserve">Reading: Humphreys, </w:t>
      </w:r>
      <w:r w:rsidRPr="000D6BC1">
        <w:rPr>
          <w:i/>
        </w:rPr>
        <w:t>Yellow Fever</w:t>
      </w:r>
      <w:r>
        <w:t>, pp. 1-111.</w:t>
      </w:r>
      <w:r w:rsidR="00553CC1" w:rsidRPr="00553CC1">
        <w:rPr>
          <w:b/>
        </w:rPr>
        <w:t xml:space="preserve"> </w:t>
      </w:r>
      <w:r w:rsidR="00553CC1" w:rsidRPr="00736F03">
        <w:rPr>
          <w:b/>
        </w:rPr>
        <w:t>F</w:t>
      </w:r>
      <w:r w:rsidR="00553CC1" w:rsidRPr="002D417F">
        <w:rPr>
          <w:b/>
        </w:rPr>
        <w:t>irst paper due</w:t>
      </w:r>
      <w:r w:rsidR="00553CC1">
        <w:t>.</w:t>
      </w:r>
    </w:p>
    <w:p w:rsidR="00F4608B" w:rsidRDefault="00F4608B"/>
    <w:p w:rsidR="00F4608B" w:rsidRDefault="005635CD">
      <w:r>
        <w:t>9/25</w:t>
      </w:r>
      <w:r w:rsidR="00F4608B">
        <w:t xml:space="preserve">   Yellow Fever and the New Public Health</w:t>
      </w:r>
    </w:p>
    <w:p w:rsidR="00F4608B" w:rsidRDefault="00F4608B"/>
    <w:p w:rsidR="00F4608B" w:rsidRDefault="00F4608B">
      <w:r>
        <w:tab/>
      </w:r>
      <w:r>
        <w:tab/>
        <w:t xml:space="preserve">Reading: Humphreys, </w:t>
      </w:r>
      <w:r w:rsidRPr="000D6BC1">
        <w:rPr>
          <w:i/>
        </w:rPr>
        <w:t>Yellow Fever</w:t>
      </w:r>
      <w:r>
        <w:t>, pp. 113-182.</w:t>
      </w:r>
    </w:p>
    <w:p w:rsidR="00F4608B" w:rsidRDefault="00F4608B">
      <w:pPr>
        <w:ind w:firstLine="1440"/>
      </w:pPr>
    </w:p>
    <w:p w:rsidR="00F4608B" w:rsidRDefault="005635CD">
      <w:r>
        <w:t>9/30</w:t>
      </w:r>
      <w:r w:rsidR="000D6BC1">
        <w:tab/>
        <w:t>“The Immigrant Menace,” (East)</w:t>
      </w:r>
      <w:r w:rsidR="00EB378F">
        <w:t xml:space="preserve"> (TB)</w:t>
      </w:r>
    </w:p>
    <w:p w:rsidR="00F4608B" w:rsidRDefault="00F4608B"/>
    <w:p w:rsidR="00F4608B" w:rsidRDefault="00F4608B">
      <w:pPr>
        <w:ind w:left="1440"/>
      </w:pPr>
      <w:r>
        <w:t xml:space="preserve">Reading: Kraut, </w:t>
      </w:r>
      <w:r w:rsidRPr="000D6BC1">
        <w:rPr>
          <w:i/>
        </w:rPr>
        <w:t>Silent Travelers</w:t>
      </w:r>
      <w:r>
        <w:t xml:space="preserve">, pp. </w:t>
      </w:r>
      <w:r w:rsidR="00F17BBB">
        <w:t xml:space="preserve">50-77, </w:t>
      </w:r>
      <w:r>
        <w:t xml:space="preserve">136-165; Lawrence Flick, “The Essentials of the Crusade against Tuberculosis,” </w:t>
      </w:r>
      <w:r w:rsidRPr="000D6BC1">
        <w:rPr>
          <w:i/>
        </w:rPr>
        <w:t>Public Health, Papers and</w:t>
      </w:r>
      <w:r>
        <w:rPr>
          <w:u w:val="single"/>
        </w:rPr>
        <w:t xml:space="preserve"> </w:t>
      </w:r>
      <w:r w:rsidRPr="000D6BC1">
        <w:rPr>
          <w:i/>
        </w:rPr>
        <w:t>Reports</w:t>
      </w:r>
      <w:r>
        <w:t xml:space="preserve">  32 (1906): 128-135; Richard Harrison Shryock, “The Historical Significance of the Tuberculosis Movement,” in Shryock, </w:t>
      </w:r>
      <w:r w:rsidRPr="000D6BC1">
        <w:rPr>
          <w:i/>
        </w:rPr>
        <w:t>Medicine in America</w:t>
      </w:r>
      <w:r w:rsidR="008E7F5E">
        <w:t>, pp. 139-145</w:t>
      </w:r>
      <w:r>
        <w:t>.</w:t>
      </w:r>
    </w:p>
    <w:p w:rsidR="00F4608B" w:rsidRDefault="00F4608B">
      <w:pPr>
        <w:ind w:left="1440"/>
      </w:pPr>
    </w:p>
    <w:p w:rsidR="00F4608B" w:rsidRDefault="00F4608B">
      <w:pPr>
        <w:ind w:firstLine="1440"/>
      </w:pPr>
    </w:p>
    <w:p w:rsidR="00F4608B" w:rsidRDefault="005635CD">
      <w:r>
        <w:t>10/2</w:t>
      </w:r>
      <w:r w:rsidR="00F4608B">
        <w:tab/>
        <w:t>The Campaign for Clean Food and Pure Drugs</w:t>
      </w:r>
    </w:p>
    <w:p w:rsidR="00F4608B" w:rsidRDefault="00F4608B"/>
    <w:p w:rsidR="00FC12AF" w:rsidRPr="00FC12AF" w:rsidRDefault="00F4608B">
      <w:pPr>
        <w:ind w:left="1440"/>
      </w:pPr>
      <w:r>
        <w:t xml:space="preserve">Readings: Upton Sinclair, </w:t>
      </w:r>
      <w:r w:rsidRPr="000D6BC1">
        <w:rPr>
          <w:i/>
        </w:rPr>
        <w:t>The Jungle</w:t>
      </w:r>
      <w:r>
        <w:t xml:space="preserve"> (1</w:t>
      </w:r>
      <w:r>
        <w:rPr>
          <w:vertAlign w:val="superscript"/>
        </w:rPr>
        <w:t>st</w:t>
      </w:r>
      <w:r>
        <w:t xml:space="preserve"> pub 1905, NY: Viking Press, 1946), pp. 95-99, 32-41, 61-63; James Harvey Young, </w:t>
      </w:r>
      <w:r w:rsidRPr="000D6BC1">
        <w:rPr>
          <w:i/>
        </w:rPr>
        <w:t>The Toadstool Millionaires</w:t>
      </w:r>
      <w:r>
        <w:rPr>
          <w:u w:val="single"/>
        </w:rPr>
        <w:t xml:space="preserve"> </w:t>
      </w:r>
      <w:r>
        <w:t xml:space="preserve">(Princeton: Princeton University Press, 1961): pp. 205-244; James Harvey Young, “The Pig that Fell in the Privy,” </w:t>
      </w:r>
      <w:r w:rsidRPr="000D6BC1">
        <w:rPr>
          <w:i/>
        </w:rPr>
        <w:t>Bulletin of the History of Medicine</w:t>
      </w:r>
      <w:r>
        <w:t xml:space="preserve"> 59 (19</w:t>
      </w:r>
      <w:r w:rsidR="008E7F5E">
        <w:t xml:space="preserve">85): pp. 467-480. </w:t>
      </w:r>
      <w:r w:rsidR="00403926">
        <w:t xml:space="preserve"> </w:t>
      </w:r>
      <w:r w:rsidR="00FC12AF">
        <w:t xml:space="preserve">Suzanne White Junod, “Food Standards and the Peanut Butter and Jelly Sandwich,” adapted from David F. Smith and Jim Phillips, eds., </w:t>
      </w:r>
      <w:r w:rsidR="00FC12AF">
        <w:rPr>
          <w:i/>
        </w:rPr>
        <w:t>Food, Science, Policy and Regulation in the Twentieth Century:  International and Comparative Perspectives.</w:t>
      </w:r>
      <w:r w:rsidR="00FC12AF">
        <w:t xml:space="preserve">   </w:t>
      </w:r>
      <w:r w:rsidR="000615F2">
        <w:t>FDA History website. (</w:t>
      </w:r>
      <w:r w:rsidR="008E7F5E">
        <w:t>direct link from Sakai.</w:t>
      </w:r>
      <w:r w:rsidR="00FC12AF">
        <w:t>)</w:t>
      </w:r>
    </w:p>
    <w:p w:rsidR="00F4608B" w:rsidRDefault="00F4608B">
      <w:r>
        <w:tab/>
      </w:r>
      <w:r>
        <w:tab/>
      </w:r>
    </w:p>
    <w:p w:rsidR="00F4608B" w:rsidRDefault="005635CD">
      <w:r>
        <w:t>10/7</w:t>
      </w:r>
      <w:r w:rsidR="006A70EF">
        <w:tab/>
      </w:r>
      <w:r w:rsidR="00F4608B">
        <w:t>Saving the Babies</w:t>
      </w:r>
    </w:p>
    <w:p w:rsidR="00F4608B" w:rsidRDefault="00F4608B"/>
    <w:p w:rsidR="00F4608B" w:rsidRDefault="00F4608B">
      <w:pPr>
        <w:ind w:left="1440"/>
      </w:pPr>
      <w:r>
        <w:t xml:space="preserve">Readings: Richard A. Meckel, </w:t>
      </w:r>
      <w:r w:rsidRPr="000D6BC1">
        <w:rPr>
          <w:i/>
        </w:rPr>
        <w:t>Save the Babies</w:t>
      </w:r>
      <w:r>
        <w:rPr>
          <w:u w:val="single"/>
        </w:rPr>
        <w:t xml:space="preserve"> </w:t>
      </w:r>
      <w:r>
        <w:t>(Baltimore: Johns Hopkins</w:t>
      </w:r>
      <w:r>
        <w:rPr>
          <w:u w:val="single"/>
        </w:rPr>
        <w:t xml:space="preserve"> </w:t>
      </w:r>
      <w:r>
        <w:t xml:space="preserve">University Press, 1990), pp. 62-91; Elizabeth Fee and Evelynn Hammonds, “Science, Politics and the Art of Persuasion: Promoting the New Scientific Medicine in New York City,” in D. Rosner, ed. </w:t>
      </w:r>
      <w:r w:rsidRPr="000D6BC1">
        <w:rPr>
          <w:i/>
        </w:rPr>
        <w:t>Hives of Sickness</w:t>
      </w:r>
      <w:r>
        <w:t xml:space="preserve"> (New Brunswick: Rutgers University Press, 1995)</w:t>
      </w:r>
      <w:r w:rsidR="008E7F5E">
        <w:t xml:space="preserve">, pp. 155-156, 165-185. </w:t>
      </w:r>
    </w:p>
    <w:p w:rsidR="00F17BBB" w:rsidRDefault="00F17BBB">
      <w:pPr>
        <w:ind w:left="1440"/>
      </w:pPr>
    </w:p>
    <w:p w:rsidR="00F17BBB" w:rsidRDefault="00F17BBB" w:rsidP="00F17BBB">
      <w:r>
        <w:t>1</w:t>
      </w:r>
      <w:r w:rsidR="005635CD">
        <w:t>0/9</w:t>
      </w:r>
      <w:r w:rsidR="00121A6D">
        <w:tab/>
      </w:r>
      <w:r w:rsidR="000D6BC1">
        <w:t>“The Immigrant Menace,” (West)</w:t>
      </w:r>
      <w:r>
        <w:t xml:space="preserve"> (plague)</w:t>
      </w:r>
    </w:p>
    <w:p w:rsidR="00F17BBB" w:rsidRDefault="00F17BBB" w:rsidP="00F17BBB"/>
    <w:p w:rsidR="00F17BBB" w:rsidRDefault="00F17BBB" w:rsidP="00F17BBB">
      <w:pPr>
        <w:ind w:firstLine="1440"/>
      </w:pPr>
      <w:r>
        <w:t xml:space="preserve">Reading: Guenter Risse, “”A Long Pull, a Strong Pull, and All Together:” San </w:t>
      </w:r>
    </w:p>
    <w:p w:rsidR="00F17BBB" w:rsidRDefault="00F17BBB" w:rsidP="00F17BBB">
      <w:pPr>
        <w:ind w:left="1440"/>
      </w:pPr>
      <w:r>
        <w:t xml:space="preserve">Francisco and Bubonic Plague, 1907-1908,” </w:t>
      </w:r>
      <w:r w:rsidRPr="000D6BC1">
        <w:rPr>
          <w:i/>
        </w:rPr>
        <w:t>Bulletin of the History of Medicine</w:t>
      </w:r>
      <w:r>
        <w:t xml:space="preserve"> 66(1992): 260-86; Kraut, </w:t>
      </w:r>
      <w:r w:rsidRPr="000D6BC1">
        <w:rPr>
          <w:i/>
        </w:rPr>
        <w:t>Silent Travelers</w:t>
      </w:r>
      <w:r>
        <w:t>, pp. 78-96.</w:t>
      </w:r>
    </w:p>
    <w:p w:rsidR="00F4608B" w:rsidRDefault="00F4608B"/>
    <w:p w:rsidR="00434FB4" w:rsidRDefault="005635CD" w:rsidP="000866ED">
      <w:r>
        <w:t>10/14</w:t>
      </w:r>
      <w:r w:rsidR="00434FB4">
        <w:t xml:space="preserve">  </w:t>
      </w:r>
      <w:r w:rsidR="001033A3">
        <w:tab/>
      </w:r>
      <w:r w:rsidR="00434FB4">
        <w:t xml:space="preserve">  Fall Break</w:t>
      </w:r>
    </w:p>
    <w:p w:rsidR="00434FB4" w:rsidRDefault="00434FB4" w:rsidP="000866ED"/>
    <w:p w:rsidR="000027A0" w:rsidRDefault="00F74F6C" w:rsidP="000027A0">
      <w:r>
        <w:t>10/16</w:t>
      </w:r>
      <w:r w:rsidR="00121A6D">
        <w:tab/>
        <w:t xml:space="preserve">  </w:t>
      </w:r>
      <w:r w:rsidR="000027A0">
        <w:t>The 1918 Influenza Epidemic (and 1976, Redux?)</w:t>
      </w:r>
    </w:p>
    <w:p w:rsidR="000027A0" w:rsidRDefault="000027A0" w:rsidP="000027A0"/>
    <w:p w:rsidR="000027A0" w:rsidRDefault="000027A0" w:rsidP="000027A0">
      <w:pPr>
        <w:ind w:left="1440"/>
      </w:pPr>
      <w:r>
        <w:lastRenderedPageBreak/>
        <w:t xml:space="preserve">Reading: Alfred W. Crosby, Jr., “The Influenza Pandemic of 1918,” in June Osborn, ed., </w:t>
      </w:r>
      <w:r w:rsidRPr="000D6BC1">
        <w:rPr>
          <w:i/>
        </w:rPr>
        <w:t>Influenza in America</w:t>
      </w:r>
      <w:r>
        <w:t xml:space="preserve"> (New York: Prodist, 1977), pp. 5-13; Arthur Viseltear, “A Short Political History of the 1976 Swine Influenza Legislation,” in ibid., 28-58.</w:t>
      </w:r>
      <w:r w:rsidR="005635CD">
        <w:t xml:space="preserve"> </w:t>
      </w:r>
    </w:p>
    <w:p w:rsidR="000866ED" w:rsidRDefault="000866ED" w:rsidP="000027A0"/>
    <w:p w:rsidR="000027A0" w:rsidRDefault="00EB378F" w:rsidP="000027A0">
      <w:r>
        <w:t>1</w:t>
      </w:r>
      <w:r w:rsidR="005635CD">
        <w:t>0/2</w:t>
      </w:r>
      <w:r w:rsidR="00F74F6C">
        <w:t>1</w:t>
      </w:r>
      <w:r w:rsidR="00121A6D">
        <w:tab/>
        <w:t xml:space="preserve">  </w:t>
      </w:r>
      <w:r>
        <w:t xml:space="preserve"> </w:t>
      </w:r>
      <w:r w:rsidR="000027A0">
        <w:t xml:space="preserve">SARS, </w:t>
      </w:r>
      <w:r w:rsidR="006066F0">
        <w:t>Avian Influenza</w:t>
      </w:r>
      <w:r w:rsidR="000027A0">
        <w:t xml:space="preserve">, </w:t>
      </w:r>
      <w:r w:rsidR="006066F0">
        <w:t>Influenza-</w:t>
      </w:r>
      <w:r w:rsidR="000027A0">
        <w:t xml:space="preserve">H1N1, </w:t>
      </w:r>
      <w:r w:rsidR="006066F0">
        <w:t xml:space="preserve">MERS </w:t>
      </w:r>
      <w:r w:rsidR="000027A0">
        <w:t>and U.S. Preparedness</w:t>
      </w:r>
    </w:p>
    <w:p w:rsidR="000027A0" w:rsidRDefault="000027A0" w:rsidP="000027A0"/>
    <w:p w:rsidR="000027A0" w:rsidRDefault="000027A0" w:rsidP="006066F0">
      <w:pPr>
        <w:ind w:left="1440"/>
        <w:rPr>
          <w:snapToGrid/>
          <w:szCs w:val="24"/>
        </w:rPr>
      </w:pPr>
      <w:r>
        <w:t xml:space="preserve">Reading: Information on </w:t>
      </w:r>
      <w:r w:rsidR="000D6BC1">
        <w:t xml:space="preserve">SARS, </w:t>
      </w:r>
      <w:r>
        <w:t>Avian Inf</w:t>
      </w:r>
      <w:r w:rsidR="00553CC1">
        <w:t xml:space="preserve">luenza, </w:t>
      </w:r>
      <w:r w:rsidR="000D6BC1">
        <w:t>H1N1</w:t>
      </w:r>
      <w:r w:rsidR="006066F0">
        <w:t xml:space="preserve"> and M</w:t>
      </w:r>
      <w:r w:rsidR="00553CC1">
        <w:t>ERS</w:t>
      </w:r>
      <w:r w:rsidR="000D6BC1">
        <w:t xml:space="preserve"> on CDC website.</w:t>
      </w:r>
      <w:r w:rsidRPr="009869DF">
        <w:rPr>
          <w:snapToGrid/>
          <w:szCs w:val="24"/>
        </w:rPr>
        <w:t xml:space="preserve"> </w:t>
      </w:r>
      <w:r w:rsidR="006066F0">
        <w:rPr>
          <w:snapToGrid/>
          <w:szCs w:val="24"/>
        </w:rPr>
        <w:t>(</w:t>
      </w:r>
      <w:hyperlink r:id="rId11" w:history="1">
        <w:r w:rsidR="000D6BC1" w:rsidRPr="00A92930">
          <w:rPr>
            <w:rStyle w:val="Hyperlink"/>
            <w:snapToGrid/>
            <w:szCs w:val="24"/>
          </w:rPr>
          <w:t>www.cdc.gov</w:t>
        </w:r>
      </w:hyperlink>
      <w:r w:rsidR="000D6BC1">
        <w:rPr>
          <w:snapToGrid/>
          <w:szCs w:val="24"/>
        </w:rPr>
        <w:t>)</w:t>
      </w:r>
      <w:r w:rsidR="006066F0">
        <w:rPr>
          <w:snapToGrid/>
          <w:szCs w:val="24"/>
        </w:rPr>
        <w:t>; choose button for “Diseases and Conditions” and look up each disease listed.</w:t>
      </w:r>
    </w:p>
    <w:p w:rsidR="000D6BC1" w:rsidRDefault="000D6BC1" w:rsidP="000D6BC1">
      <w:pPr>
        <w:rPr>
          <w:snapToGrid/>
          <w:szCs w:val="24"/>
        </w:rPr>
      </w:pPr>
    </w:p>
    <w:p w:rsidR="00F4608B" w:rsidRDefault="005635CD">
      <w:r>
        <w:t>10/2</w:t>
      </w:r>
      <w:r w:rsidR="00F74F6C">
        <w:t>3</w:t>
      </w:r>
      <w:r w:rsidR="00EB378F">
        <w:t xml:space="preserve">   </w:t>
      </w:r>
      <w:r w:rsidR="00121A6D">
        <w:t xml:space="preserve">   </w:t>
      </w:r>
      <w:r w:rsidR="00F4608B">
        <w:t>The Germ of Laziness</w:t>
      </w:r>
    </w:p>
    <w:p w:rsidR="00F4608B" w:rsidRDefault="00F4608B">
      <w:pPr>
        <w:rPr>
          <w:u w:val="single"/>
        </w:rPr>
      </w:pPr>
    </w:p>
    <w:p w:rsidR="00F4608B" w:rsidRDefault="00F4608B">
      <w:pPr>
        <w:ind w:left="1440"/>
      </w:pPr>
      <w:r>
        <w:t xml:space="preserve">Reading: Alan I. Marcus, “The South’s Native Foreigner’s: Hookworm as a Factor in Southern Distinctiveness,” in Todd Savitt and James Harvey Young, eds., </w:t>
      </w:r>
      <w:r w:rsidRPr="000D6BC1">
        <w:rPr>
          <w:i/>
        </w:rPr>
        <w:t>Disease and Distinctiveness in the American South</w:t>
      </w:r>
      <w:r>
        <w:t xml:space="preserve"> (Knoxville: U. Tennessee Press, 1988): pp. 78-99; James H. Cassedy, “The ‘Germ of Laziness’ in the South, 1900-1915: Charles Wardell Stiles and the Progressive Paradox,” </w:t>
      </w:r>
      <w:r w:rsidRPr="000D6BC1">
        <w:rPr>
          <w:i/>
        </w:rPr>
        <w:t>Bulletin of the</w:t>
      </w:r>
      <w:r>
        <w:rPr>
          <w:u w:val="single"/>
        </w:rPr>
        <w:t xml:space="preserve"> </w:t>
      </w:r>
      <w:r w:rsidRPr="000D6BC1">
        <w:rPr>
          <w:i/>
        </w:rPr>
        <w:t>History of Medicine</w:t>
      </w:r>
      <w:r w:rsidR="008E7F5E">
        <w:t xml:space="preserve"> 45 (1971): 159-169</w:t>
      </w:r>
      <w:r>
        <w:t>.</w:t>
      </w:r>
    </w:p>
    <w:p w:rsidR="00F4608B" w:rsidRDefault="00F4608B" w:rsidP="00F4608B"/>
    <w:p w:rsidR="00F4608B" w:rsidRDefault="00F4608B" w:rsidP="00F4608B"/>
    <w:p w:rsidR="00F4608B" w:rsidRDefault="00F74F6C">
      <w:r>
        <w:t>10/28</w:t>
      </w:r>
      <w:r w:rsidR="00F4608B">
        <w:t xml:space="preserve">  </w:t>
      </w:r>
      <w:r w:rsidR="00F4608B">
        <w:tab/>
      </w:r>
      <w:r w:rsidR="00121A6D">
        <w:t xml:space="preserve">      </w:t>
      </w:r>
      <w:r w:rsidR="00F4608B">
        <w:t>Pellagra</w:t>
      </w:r>
    </w:p>
    <w:p w:rsidR="00F4608B" w:rsidRDefault="00F4608B"/>
    <w:p w:rsidR="00F4608B" w:rsidRDefault="00F4608B">
      <w:pPr>
        <w:ind w:left="1440"/>
      </w:pPr>
      <w:r>
        <w:t xml:space="preserve">Readings: Elizabeth W. Etheridge, “Pellagra: An Unappreciated Reminder of Southern Distinctiveness,” in Savitt and Young, </w:t>
      </w:r>
      <w:r w:rsidRPr="000D6BC1">
        <w:rPr>
          <w:i/>
        </w:rPr>
        <w:t>Disease and Distinctiveness</w:t>
      </w:r>
      <w:r>
        <w:t xml:space="preserve">, pp. 100-119; Joseph Goldberger, “The Etiology of Pellagra,” “Cause and Prevention of Pellagra,” and “Treatment,” in </w:t>
      </w:r>
      <w:r w:rsidRPr="000D6BC1">
        <w:rPr>
          <w:i/>
        </w:rPr>
        <w:t>Public Health Reports</w:t>
      </w:r>
      <w:r>
        <w:t xml:space="preserve"> 29 (1914): 1683-1686, 2354-2357, 2821-2825; CH Lavinder, “The Prevalence and Geographic Dis</w:t>
      </w:r>
      <w:r w:rsidR="001033A3">
        <w:t>tribution of Pellagra in the US</w:t>
      </w:r>
      <w:r>
        <w:t>”</w:t>
      </w:r>
      <w:r w:rsidR="00403926">
        <w:t xml:space="preserve">; </w:t>
      </w:r>
      <w:r w:rsidR="00853099">
        <w:t>Julia McIver, “The Start of School Lunches,” excerpt from 1932 Narrative [Annual] Report, Pamlico County, North Carolina, Home Demonstration Agency</w:t>
      </w:r>
      <w:r w:rsidR="00403926">
        <w:t xml:space="preserve">, </w:t>
      </w:r>
      <w:r w:rsidR="00853099">
        <w:t xml:space="preserve">“4-H Club Members Learned by Doing,” and “Negro Farmers Enjoyed a Prosperous Year,” excerpts from </w:t>
      </w:r>
      <w:r w:rsidR="00853099">
        <w:rPr>
          <w:i/>
        </w:rPr>
        <w:t>Better Rural Living</w:t>
      </w:r>
      <w:r w:rsidR="00853099">
        <w:t xml:space="preserve">, </w:t>
      </w:r>
      <w:r w:rsidR="00853099">
        <w:rPr>
          <w:i/>
        </w:rPr>
        <w:t>The Annual Report of the North Carolina Agricultural Extension Service</w:t>
      </w:r>
      <w:r w:rsidR="00853099">
        <w:t xml:space="preserve">, 1948. </w:t>
      </w:r>
      <w:r>
        <w:t xml:space="preserve"> </w:t>
      </w:r>
    </w:p>
    <w:p w:rsidR="00F4608B" w:rsidRDefault="00F4608B"/>
    <w:p w:rsidR="00F4608B" w:rsidRDefault="00F4608B">
      <w:pPr>
        <w:ind w:left="1440"/>
      </w:pPr>
    </w:p>
    <w:p w:rsidR="00F4608B" w:rsidRDefault="00F74F6C">
      <w:r>
        <w:t xml:space="preserve">10/30  </w:t>
      </w:r>
      <w:r>
        <w:tab/>
        <w:t xml:space="preserve">     </w:t>
      </w:r>
      <w:r w:rsidR="00121A6D">
        <w:t xml:space="preserve"> </w:t>
      </w:r>
      <w:r w:rsidR="00F4608B">
        <w:t>Syphilis</w:t>
      </w:r>
    </w:p>
    <w:p w:rsidR="00F4608B" w:rsidRDefault="00F4608B">
      <w:r>
        <w:tab/>
      </w:r>
    </w:p>
    <w:p w:rsidR="00F4608B" w:rsidRDefault="00F4608B">
      <w:pPr>
        <w:ind w:left="1440"/>
        <w:rPr>
          <w:szCs w:val="24"/>
        </w:rPr>
      </w:pPr>
      <w:r>
        <w:t xml:space="preserve">Reading: Allan M. Brandt, “Racism and Research: The Case of the Tuskegee Syphilis Study,” </w:t>
      </w:r>
      <w:r w:rsidRPr="000D6BC1">
        <w:rPr>
          <w:i/>
        </w:rPr>
        <w:t>Hastings Center Report</w:t>
      </w:r>
      <w:r>
        <w:t xml:space="preserve"> 8 (1978): 21-29; Elizabeth Fee, “Sin vs. Science: Venereal Disease in Baltimore in the Twentieth Century,” </w:t>
      </w:r>
      <w:r w:rsidRPr="000D6BC1">
        <w:rPr>
          <w:i/>
        </w:rPr>
        <w:t>Journal of the</w:t>
      </w:r>
      <w:r>
        <w:t xml:space="preserve"> </w:t>
      </w:r>
      <w:r w:rsidRPr="000D6BC1">
        <w:rPr>
          <w:i/>
        </w:rPr>
        <w:t>History of Medicine</w:t>
      </w:r>
      <w:r>
        <w:t xml:space="preserve"> 43 (1988): 141-164; </w:t>
      </w:r>
      <w:r w:rsidRPr="002C3FE4">
        <w:rPr>
          <w:szCs w:val="24"/>
        </w:rPr>
        <w:t>James C</w:t>
      </w:r>
      <w:r>
        <w:rPr>
          <w:szCs w:val="24"/>
        </w:rPr>
        <w:t>.</w:t>
      </w:r>
      <w:r w:rsidRPr="002C3FE4">
        <w:rPr>
          <w:szCs w:val="24"/>
        </w:rPr>
        <w:t xml:space="preserve"> </w:t>
      </w:r>
      <w:r>
        <w:rPr>
          <w:szCs w:val="24"/>
        </w:rPr>
        <w:t>Thomas</w:t>
      </w:r>
      <w:r w:rsidRPr="002C3FE4">
        <w:rPr>
          <w:szCs w:val="24"/>
        </w:rPr>
        <w:t xml:space="preserve"> and Karen </w:t>
      </w:r>
      <w:r>
        <w:rPr>
          <w:szCs w:val="24"/>
        </w:rPr>
        <w:t>K. Thomas, “</w:t>
      </w:r>
      <w:r w:rsidRPr="002C3FE4">
        <w:rPr>
          <w:szCs w:val="24"/>
        </w:rPr>
        <w:t>Things Ain’t What They Ought to Be: Social Forces underlying Racial Disparities in Rates of Sexually Transmitted Diseases in a Rural North Carolina County</w:t>
      </w:r>
      <w:r>
        <w:rPr>
          <w:szCs w:val="24"/>
        </w:rPr>
        <w:t xml:space="preserve">,” </w:t>
      </w:r>
      <w:r w:rsidRPr="000D6BC1">
        <w:rPr>
          <w:i/>
          <w:szCs w:val="24"/>
        </w:rPr>
        <w:t>Social Science and Medicine</w:t>
      </w:r>
      <w:r>
        <w:rPr>
          <w:szCs w:val="24"/>
        </w:rPr>
        <w:t xml:space="preserve">, </w:t>
      </w:r>
      <w:r w:rsidRPr="002C3FE4">
        <w:rPr>
          <w:szCs w:val="24"/>
        </w:rPr>
        <w:t>49</w:t>
      </w:r>
      <w:r>
        <w:rPr>
          <w:szCs w:val="24"/>
        </w:rPr>
        <w:t>(1999):</w:t>
      </w:r>
      <w:r w:rsidRPr="002C3FE4">
        <w:rPr>
          <w:szCs w:val="24"/>
        </w:rPr>
        <w:t xml:space="preserve"> 1075-1084</w:t>
      </w:r>
      <w:r w:rsidR="008E7F5E">
        <w:rPr>
          <w:szCs w:val="24"/>
        </w:rPr>
        <w:t>.</w:t>
      </w:r>
    </w:p>
    <w:p w:rsidR="002B34BC" w:rsidRDefault="002B34BC">
      <w:pPr>
        <w:ind w:left="1440"/>
        <w:rPr>
          <w:szCs w:val="24"/>
        </w:rPr>
      </w:pPr>
    </w:p>
    <w:p w:rsidR="002B34BC" w:rsidRDefault="005635CD" w:rsidP="002B34BC">
      <w:r>
        <w:lastRenderedPageBreak/>
        <w:t>11/</w:t>
      </w:r>
      <w:r w:rsidR="00F74F6C">
        <w:t>4</w:t>
      </w:r>
      <w:r w:rsidR="00121A6D">
        <w:tab/>
        <w:t xml:space="preserve">  </w:t>
      </w:r>
      <w:r w:rsidR="002B34BC">
        <w:t>Occupational and Environmental Health</w:t>
      </w:r>
    </w:p>
    <w:p w:rsidR="002B34BC" w:rsidRDefault="002B34BC" w:rsidP="002B34BC"/>
    <w:p w:rsidR="002B34BC" w:rsidRDefault="002B34BC" w:rsidP="002B34BC">
      <w:pPr>
        <w:ind w:left="1440"/>
      </w:pPr>
      <w:r>
        <w:t xml:space="preserve">Reading: Kraut, </w:t>
      </w:r>
      <w:r w:rsidRPr="000D6BC1">
        <w:rPr>
          <w:i/>
        </w:rPr>
        <w:t>Silent Travelers</w:t>
      </w:r>
      <w:r>
        <w:t xml:space="preserve">, 166-196; David Rosner and Gerald Markowitz, “The Early Movement for Occupational Safety and Health, 1900-1917,” in Judith Walzer Leavitt and Ronald L. Numbers, eds., </w:t>
      </w:r>
      <w:r w:rsidRPr="000D6BC1">
        <w:rPr>
          <w:i/>
        </w:rPr>
        <w:t>Sickness and Health in America: Readings in the History of Medicine and Public Health</w:t>
      </w:r>
      <w:r>
        <w:t xml:space="preserve"> (Madison: Th</w:t>
      </w:r>
      <w:r w:rsidR="0087193E">
        <w:t>e University of Wisconsin Press),</w:t>
      </w:r>
      <w:r>
        <w:t xml:space="preserve"> 507-521.</w:t>
      </w:r>
    </w:p>
    <w:p w:rsidR="00F4608B" w:rsidRDefault="00F4608B"/>
    <w:p w:rsidR="00F4608B" w:rsidRDefault="00F74F6C">
      <w:r>
        <w:t xml:space="preserve">11/6  </w:t>
      </w:r>
      <w:r w:rsidR="00121A6D">
        <w:t xml:space="preserve">      </w:t>
      </w:r>
      <w:r w:rsidR="004A05BE">
        <w:t>Malaria at the Movies (or, Making the Micro Monstrous)</w:t>
      </w:r>
    </w:p>
    <w:p w:rsidR="004A05BE" w:rsidRDefault="004A05BE"/>
    <w:p w:rsidR="00F4608B" w:rsidRPr="009F13FF" w:rsidRDefault="00F4608B" w:rsidP="004A05BE">
      <w:pPr>
        <w:rPr>
          <w:color w:val="FF0000"/>
        </w:rPr>
      </w:pPr>
      <w:r>
        <w:tab/>
      </w:r>
      <w:r>
        <w:tab/>
        <w:t xml:space="preserve">Readings: </w:t>
      </w:r>
      <w:r w:rsidR="004A05BE">
        <w:t>None</w:t>
      </w:r>
      <w:r w:rsidR="009F13FF">
        <w:t xml:space="preserve"> </w:t>
      </w:r>
    </w:p>
    <w:p w:rsidR="002B34BC" w:rsidRPr="009F13FF" w:rsidRDefault="002B34BC" w:rsidP="002B34BC">
      <w:pPr>
        <w:rPr>
          <w:color w:val="FF0000"/>
        </w:rPr>
      </w:pPr>
    </w:p>
    <w:p w:rsidR="002B34BC" w:rsidRDefault="009F13FF" w:rsidP="002B34BC">
      <w:r>
        <w:t>11/1</w:t>
      </w:r>
      <w:r w:rsidR="00F74F6C">
        <w:t>1</w:t>
      </w:r>
      <w:r w:rsidR="00121A6D">
        <w:t xml:space="preserve">      </w:t>
      </w:r>
      <w:r w:rsidR="004A05BE">
        <w:t xml:space="preserve"> Malaria, World War II, </w:t>
      </w:r>
      <w:r w:rsidR="002B34BC">
        <w:t>and the CDC</w:t>
      </w:r>
    </w:p>
    <w:p w:rsidR="002B34BC" w:rsidRDefault="002B34BC" w:rsidP="002B34BC"/>
    <w:p w:rsidR="004A05BE" w:rsidRDefault="002B34BC" w:rsidP="004A05BE">
      <w:r>
        <w:tab/>
      </w:r>
      <w:r>
        <w:tab/>
        <w:t>Readings:</w:t>
      </w:r>
      <w:r w:rsidR="004A05BE" w:rsidRPr="004A05BE">
        <w:t xml:space="preserve"> </w:t>
      </w:r>
      <w:r w:rsidR="004A05BE">
        <w:t xml:space="preserve">Margaret Humphreys, “Kicking a Dying Dog: DDT and the Demise of </w:t>
      </w:r>
    </w:p>
    <w:p w:rsidR="00F4608B" w:rsidRPr="00F74F6C" w:rsidRDefault="004A05BE">
      <w:pPr>
        <w:ind w:left="1440"/>
        <w:rPr>
          <w:color w:val="FF0000"/>
        </w:rPr>
      </w:pPr>
      <w:r>
        <w:t xml:space="preserve">Malaria in the American South, 1942-1952,” </w:t>
      </w:r>
      <w:r w:rsidRPr="000D6BC1">
        <w:rPr>
          <w:i/>
        </w:rPr>
        <w:t>Isis</w:t>
      </w:r>
      <w:r>
        <w:t xml:space="preserve"> 87 (1996): 1-17; Ernest Carroll Faust, “Clinical and Public Health Aspects of Malaria in the United States,” </w:t>
      </w:r>
      <w:r w:rsidRPr="000D6BC1">
        <w:rPr>
          <w:i/>
        </w:rPr>
        <w:t>American Journal of Tropical Medicine</w:t>
      </w:r>
      <w:r>
        <w:t xml:space="preserve"> 25 (1945): 185-201. </w:t>
      </w:r>
    </w:p>
    <w:p w:rsidR="00F74F6C" w:rsidRPr="009F13FF" w:rsidRDefault="00F74F6C">
      <w:pPr>
        <w:ind w:left="1440"/>
        <w:rPr>
          <w:color w:val="FF0000"/>
        </w:rPr>
      </w:pPr>
    </w:p>
    <w:p w:rsidR="00F4608B" w:rsidRDefault="009F13FF">
      <w:r>
        <w:t>11/</w:t>
      </w:r>
      <w:r w:rsidR="00F74F6C">
        <w:t>13</w:t>
      </w:r>
      <w:r w:rsidR="00F4608B">
        <w:t xml:space="preserve">        Polio</w:t>
      </w:r>
    </w:p>
    <w:p w:rsidR="00F4608B" w:rsidRDefault="00F4608B"/>
    <w:p w:rsidR="00F4608B" w:rsidRDefault="00F4608B">
      <w:pPr>
        <w:ind w:left="1440"/>
      </w:pPr>
      <w:r>
        <w:t xml:space="preserve">Readings: Naomi Rogers, “A Disease of Cleanliness: Polio in New York City, 1900-1990,” in Rosner, </w:t>
      </w:r>
      <w:r w:rsidRPr="000D6BC1">
        <w:rPr>
          <w:i/>
        </w:rPr>
        <w:t>Hives of Sickness</w:t>
      </w:r>
      <w:r>
        <w:t xml:space="preserve">, pp. 115-130; Naomi Rogers, “Dirt, Flies, and Immigrants: Explaining the Epidemiology of Poliomyelitis, 1900-1916,” </w:t>
      </w:r>
      <w:r w:rsidRPr="000D6BC1">
        <w:rPr>
          <w:i/>
        </w:rPr>
        <w:t>Journal of the History of Medicine</w:t>
      </w:r>
      <w:r>
        <w:t xml:space="preserve"> 44 (1989): 486-505. </w:t>
      </w:r>
    </w:p>
    <w:p w:rsidR="00F4608B" w:rsidRDefault="00F4608B"/>
    <w:p w:rsidR="00D34A76" w:rsidRDefault="00D34A76">
      <w:pPr>
        <w:sectPr w:rsidR="00D34A76">
          <w:endnotePr>
            <w:numFmt w:val="decimal"/>
          </w:endnotePr>
          <w:type w:val="continuous"/>
          <w:pgSz w:w="12240" w:h="15840"/>
          <w:pgMar w:top="1440" w:right="1440" w:bottom="1440" w:left="1440" w:header="1440" w:footer="1440" w:gutter="0"/>
          <w:cols w:space="720"/>
          <w:noEndnote/>
        </w:sectPr>
      </w:pPr>
    </w:p>
    <w:p w:rsidR="00F4608B" w:rsidRDefault="00F74F6C">
      <w:r>
        <w:lastRenderedPageBreak/>
        <w:t>11/18</w:t>
      </w:r>
      <w:r w:rsidR="002B34BC">
        <w:t xml:space="preserve">  </w:t>
      </w:r>
      <w:r w:rsidR="00F4608B">
        <w:tab/>
        <w:t xml:space="preserve">  </w:t>
      </w:r>
      <w:r w:rsidR="00121A6D">
        <w:t xml:space="preserve">   </w:t>
      </w:r>
      <w:r w:rsidR="00F4608B">
        <w:t>The History of AIDS, pt. 1</w:t>
      </w:r>
    </w:p>
    <w:p w:rsidR="00F4608B" w:rsidRDefault="00F4608B">
      <w:pPr>
        <w:ind w:firstLine="1440"/>
      </w:pPr>
    </w:p>
    <w:p w:rsidR="00F4608B" w:rsidRPr="00553CC1" w:rsidRDefault="00F4608B">
      <w:pPr>
        <w:ind w:firstLine="1440"/>
        <w:rPr>
          <w:color w:val="FF0000"/>
        </w:rPr>
      </w:pPr>
      <w:r>
        <w:t>Readings:</w:t>
      </w:r>
      <w:r>
        <w:rPr>
          <w:b/>
        </w:rPr>
        <w:t xml:space="preserve">  </w:t>
      </w:r>
      <w:r w:rsidR="0059677C" w:rsidRPr="0059677C">
        <w:t xml:space="preserve">Engel, </w:t>
      </w:r>
      <w:r w:rsidR="0059677C" w:rsidRPr="0059677C">
        <w:rPr>
          <w:i/>
        </w:rPr>
        <w:t>The Epidemic</w:t>
      </w:r>
      <w:r w:rsidR="0059677C" w:rsidRPr="0059677C">
        <w:t>,</w:t>
      </w:r>
      <w:r w:rsidR="0059677C">
        <w:rPr>
          <w:b/>
        </w:rPr>
        <w:t xml:space="preserve">  </w:t>
      </w:r>
      <w:r w:rsidR="0059677C" w:rsidRPr="0059677C">
        <w:t>1-102</w:t>
      </w:r>
      <w:r w:rsidRPr="0059677C">
        <w:t>.</w:t>
      </w:r>
      <w:r w:rsidRPr="00911522">
        <w:t xml:space="preserve"> </w:t>
      </w:r>
    </w:p>
    <w:p w:rsidR="0087193E" w:rsidRDefault="0087193E" w:rsidP="0087193E">
      <w:pPr>
        <w:ind w:left="1440"/>
      </w:pPr>
      <w:r w:rsidRPr="002D417F">
        <w:rPr>
          <w:b/>
        </w:rPr>
        <w:t>Second paper due</w:t>
      </w:r>
      <w:r>
        <w:t>.</w:t>
      </w:r>
    </w:p>
    <w:p w:rsidR="00F4608B" w:rsidRPr="00553CC1" w:rsidRDefault="00F4608B">
      <w:pPr>
        <w:ind w:firstLine="1440"/>
        <w:rPr>
          <w:color w:val="FF0000"/>
        </w:rPr>
      </w:pPr>
    </w:p>
    <w:p w:rsidR="00F4608B" w:rsidRDefault="00C452F6">
      <w:r>
        <w:t xml:space="preserve"> </w:t>
      </w:r>
      <w:r w:rsidR="009F13FF">
        <w:t>11/2</w:t>
      </w:r>
      <w:r w:rsidR="00F74F6C">
        <w:t>0</w:t>
      </w:r>
      <w:r w:rsidR="00F4608B">
        <w:tab/>
        <w:t xml:space="preserve">   </w:t>
      </w:r>
      <w:r w:rsidR="002B34BC">
        <w:t xml:space="preserve"> </w:t>
      </w:r>
      <w:r w:rsidR="00F4608B">
        <w:t xml:space="preserve"> </w:t>
      </w:r>
      <w:r w:rsidR="00121A6D">
        <w:t xml:space="preserve"> </w:t>
      </w:r>
      <w:r w:rsidR="002B34BC">
        <w:t xml:space="preserve">The </w:t>
      </w:r>
      <w:r w:rsidR="00F4608B">
        <w:t>History of AIDS, pt. 2</w:t>
      </w:r>
    </w:p>
    <w:p w:rsidR="00F4608B" w:rsidRDefault="00F4608B"/>
    <w:p w:rsidR="00F4608B" w:rsidRDefault="00F4608B">
      <w:pPr>
        <w:ind w:left="1440"/>
      </w:pPr>
      <w:r>
        <w:t xml:space="preserve">Readings:  </w:t>
      </w:r>
      <w:r w:rsidR="0059677C">
        <w:t xml:space="preserve">Engel, </w:t>
      </w:r>
      <w:r w:rsidR="0059677C" w:rsidRPr="0059677C">
        <w:rPr>
          <w:i/>
        </w:rPr>
        <w:t>The Epidemic</w:t>
      </w:r>
      <w:r w:rsidR="0059677C">
        <w:t>, 103-231</w:t>
      </w:r>
      <w:r>
        <w:t>.</w:t>
      </w:r>
      <w:r w:rsidR="009F13FF">
        <w:t xml:space="preserve"> </w:t>
      </w:r>
    </w:p>
    <w:p w:rsidR="00F4608B" w:rsidRDefault="00F4608B">
      <w:pPr>
        <w:ind w:left="1440"/>
      </w:pPr>
    </w:p>
    <w:p w:rsidR="00F4608B" w:rsidRDefault="00553CC1">
      <w:r>
        <w:t>11/25</w:t>
      </w:r>
      <w:r w:rsidR="00F4608B">
        <w:tab/>
        <w:t xml:space="preserve">    </w:t>
      </w:r>
      <w:r w:rsidR="00121A6D">
        <w:t xml:space="preserve">  </w:t>
      </w:r>
      <w:r w:rsidR="00F4608B">
        <w:t xml:space="preserve">The History of AIDS, pt. 3. </w:t>
      </w:r>
    </w:p>
    <w:p w:rsidR="00F4608B" w:rsidRDefault="00F4608B"/>
    <w:p w:rsidR="00F4608B" w:rsidRDefault="00F4608B">
      <w:pPr>
        <w:ind w:left="1440"/>
      </w:pPr>
      <w:r>
        <w:t xml:space="preserve">Readings:  </w:t>
      </w:r>
      <w:r w:rsidR="0059677C">
        <w:t xml:space="preserve">Engel, </w:t>
      </w:r>
      <w:r w:rsidR="0059677C" w:rsidRPr="0059677C">
        <w:rPr>
          <w:i/>
        </w:rPr>
        <w:t>The Epidemic</w:t>
      </w:r>
      <w:r w:rsidR="00A52E1A">
        <w:t>,</w:t>
      </w:r>
      <w:r w:rsidR="0059677C">
        <w:t xml:space="preserve"> 232-326</w:t>
      </w:r>
      <w:r w:rsidR="00A52E1A">
        <w:t>.</w:t>
      </w:r>
      <w:r w:rsidR="00553CC1">
        <w:t xml:space="preserve"> </w:t>
      </w:r>
    </w:p>
    <w:p w:rsidR="00553CC1" w:rsidRDefault="00553CC1" w:rsidP="00553CC1"/>
    <w:p w:rsidR="00553CC1" w:rsidRDefault="00121A6D" w:rsidP="00553CC1">
      <w:r>
        <w:t xml:space="preserve">12/2            </w:t>
      </w:r>
      <w:r w:rsidR="00553CC1">
        <w:t>Ebola</w:t>
      </w:r>
    </w:p>
    <w:p w:rsidR="0059677C" w:rsidRDefault="0059677C" w:rsidP="00553CC1"/>
    <w:p w:rsidR="0059677C" w:rsidRDefault="0059677C" w:rsidP="00553CC1">
      <w:r>
        <w:tab/>
      </w:r>
      <w:r>
        <w:tab/>
        <w:t>Readings: TBA (p</w:t>
      </w:r>
      <w:r w:rsidR="00121A6D">
        <w:t>ending events of the coming months</w:t>
      </w:r>
      <w:r>
        <w:t>)</w:t>
      </w:r>
    </w:p>
    <w:p w:rsidR="00F4608B" w:rsidRDefault="00F4608B"/>
    <w:p w:rsidR="00F4608B" w:rsidRDefault="009F13FF">
      <w:r>
        <w:t>12/4</w:t>
      </w:r>
      <w:r w:rsidR="004A05BE">
        <w:t xml:space="preserve"> </w:t>
      </w:r>
      <w:r w:rsidR="002B34BC">
        <w:t xml:space="preserve">         </w:t>
      </w:r>
      <w:r w:rsidR="00121A6D">
        <w:t xml:space="preserve"> </w:t>
      </w:r>
      <w:r w:rsidR="00F4608B">
        <w:t>Bioterrorism and course summary</w:t>
      </w:r>
    </w:p>
    <w:p w:rsidR="00F4608B" w:rsidRDefault="00F4608B"/>
    <w:p w:rsidR="00F4608B" w:rsidRDefault="00F4608B">
      <w:pPr>
        <w:ind w:left="720" w:firstLine="720"/>
      </w:pPr>
      <w:r>
        <w:lastRenderedPageBreak/>
        <w:t xml:space="preserve">Readings: Readings: Morton Swartz, “Recognition and Management of </w:t>
      </w:r>
    </w:p>
    <w:p w:rsidR="009D184F" w:rsidRDefault="00F4608B" w:rsidP="009D184F">
      <w:pPr>
        <w:ind w:left="1440"/>
      </w:pPr>
      <w:r>
        <w:t xml:space="preserve">Anthrax—An  Update,” </w:t>
      </w:r>
      <w:r>
        <w:rPr>
          <w:u w:val="single"/>
        </w:rPr>
        <w:t>New England Journal of Medicine</w:t>
      </w:r>
      <w:r>
        <w:t xml:space="preserve"> 345 (2001): 1621-6</w:t>
      </w:r>
      <w:r w:rsidR="008E7F5E">
        <w:t>; MMWR on anthrax, 2001</w:t>
      </w:r>
      <w:r>
        <w:t>.</w:t>
      </w:r>
    </w:p>
    <w:p w:rsidR="002B34BC" w:rsidRDefault="002B34BC" w:rsidP="002B34BC"/>
    <w:p w:rsidR="009D184F" w:rsidRDefault="009D184F" w:rsidP="009D184F"/>
    <w:sectPr w:rsidR="009D184F">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A52" w:rsidRDefault="00BF7A52">
      <w:r>
        <w:separator/>
      </w:r>
    </w:p>
  </w:endnote>
  <w:endnote w:type="continuationSeparator" w:id="0">
    <w:p w:rsidR="00BF7A52" w:rsidRDefault="00BF7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8B" w:rsidRDefault="00F460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608B" w:rsidRDefault="00F46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08B" w:rsidRDefault="00F4608B">
    <w:pPr>
      <w:spacing w:line="240" w:lineRule="exact"/>
    </w:pPr>
  </w:p>
  <w:p w:rsidR="00F4608B" w:rsidRDefault="00F4608B">
    <w:pPr>
      <w:framePr w:wrap="around" w:vAnchor="text" w:hAnchor="margin" w:xAlign="center" w:y="1"/>
      <w:jc w:val="center"/>
    </w:pPr>
    <w:fldSimple w:instr="PAGE ">
      <w:r w:rsidR="002719DF">
        <w:rPr>
          <w:noProof/>
        </w:rPr>
        <w:t>8</w:t>
      </w:r>
    </w:fldSimple>
  </w:p>
  <w:p w:rsidR="00F4608B" w:rsidRDefault="00F460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A52" w:rsidRDefault="00BF7A52">
      <w:r>
        <w:separator/>
      </w:r>
    </w:p>
  </w:footnote>
  <w:footnote w:type="continuationSeparator" w:id="0">
    <w:p w:rsidR="00BF7A52" w:rsidRDefault="00BF7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33F6F"/>
    <w:multiLevelType w:val="hybridMultilevel"/>
    <w:tmpl w:val="FF224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8A1187"/>
    <w:multiLevelType w:val="singleLevel"/>
    <w:tmpl w:val="47480934"/>
    <w:lvl w:ilvl="0">
      <w:start w:val="1"/>
      <w:numFmt w:val="decimal"/>
      <w:lvlText w:val="%1."/>
      <w:lvlJc w:val="left"/>
      <w:pPr>
        <w:tabs>
          <w:tab w:val="num" w:pos="1170"/>
        </w:tabs>
        <w:ind w:left="1170" w:hanging="360"/>
      </w:pPr>
      <w:rPr>
        <w:rFonts w:hint="default"/>
      </w:rPr>
    </w:lvl>
  </w:abstractNum>
  <w:abstractNum w:abstractNumId="2">
    <w:nsid w:val="6D261EA6"/>
    <w:multiLevelType w:val="hybridMultilevel"/>
    <w:tmpl w:val="43966014"/>
    <w:lvl w:ilvl="0" w:tplc="76260CA4">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characterSpacingControl w:val="doNotCompress"/>
  <w:footnotePr>
    <w:footnote w:id="-1"/>
    <w:footnote w:id="0"/>
  </w:footnotePr>
  <w:endnotePr>
    <w:numFmt w:val="decimal"/>
    <w:endnote w:id="-1"/>
    <w:endnote w:id="0"/>
  </w:endnotePr>
  <w:compat/>
  <w:rsids>
    <w:rsidRoot w:val="00AD7013"/>
    <w:rsid w:val="000027A0"/>
    <w:rsid w:val="000218C4"/>
    <w:rsid w:val="00042360"/>
    <w:rsid w:val="0004634B"/>
    <w:rsid w:val="000615F2"/>
    <w:rsid w:val="000866ED"/>
    <w:rsid w:val="000D6BC1"/>
    <w:rsid w:val="000F5597"/>
    <w:rsid w:val="001033A3"/>
    <w:rsid w:val="00121A6D"/>
    <w:rsid w:val="001471EE"/>
    <w:rsid w:val="001711B1"/>
    <w:rsid w:val="0017370D"/>
    <w:rsid w:val="001D4696"/>
    <w:rsid w:val="001F4DFD"/>
    <w:rsid w:val="001F672B"/>
    <w:rsid w:val="0020230F"/>
    <w:rsid w:val="00241611"/>
    <w:rsid w:val="002719DF"/>
    <w:rsid w:val="0028546F"/>
    <w:rsid w:val="002B34BC"/>
    <w:rsid w:val="002D417F"/>
    <w:rsid w:val="002F2372"/>
    <w:rsid w:val="003160CF"/>
    <w:rsid w:val="00372120"/>
    <w:rsid w:val="00403926"/>
    <w:rsid w:val="004139C8"/>
    <w:rsid w:val="00425B1F"/>
    <w:rsid w:val="00434FB4"/>
    <w:rsid w:val="00456D32"/>
    <w:rsid w:val="00477A46"/>
    <w:rsid w:val="004A05BE"/>
    <w:rsid w:val="004A63DF"/>
    <w:rsid w:val="004C3622"/>
    <w:rsid w:val="004C5449"/>
    <w:rsid w:val="004D7441"/>
    <w:rsid w:val="004E4B81"/>
    <w:rsid w:val="00553CC1"/>
    <w:rsid w:val="005635CD"/>
    <w:rsid w:val="0059677C"/>
    <w:rsid w:val="005C109D"/>
    <w:rsid w:val="005E34FA"/>
    <w:rsid w:val="006066F0"/>
    <w:rsid w:val="00610EF7"/>
    <w:rsid w:val="00610F47"/>
    <w:rsid w:val="006622CC"/>
    <w:rsid w:val="00685868"/>
    <w:rsid w:val="006A70EF"/>
    <w:rsid w:val="006B22A4"/>
    <w:rsid w:val="00736F03"/>
    <w:rsid w:val="00780D07"/>
    <w:rsid w:val="00801948"/>
    <w:rsid w:val="00814798"/>
    <w:rsid w:val="00814CFD"/>
    <w:rsid w:val="00853099"/>
    <w:rsid w:val="00867995"/>
    <w:rsid w:val="0087193E"/>
    <w:rsid w:val="008E7F5E"/>
    <w:rsid w:val="00912189"/>
    <w:rsid w:val="00931437"/>
    <w:rsid w:val="0094386F"/>
    <w:rsid w:val="009463C4"/>
    <w:rsid w:val="009715D4"/>
    <w:rsid w:val="009A42FC"/>
    <w:rsid w:val="009D184F"/>
    <w:rsid w:val="009F03CE"/>
    <w:rsid w:val="009F13FF"/>
    <w:rsid w:val="009F7BA9"/>
    <w:rsid w:val="00A52E1A"/>
    <w:rsid w:val="00A535D0"/>
    <w:rsid w:val="00A56319"/>
    <w:rsid w:val="00B16C06"/>
    <w:rsid w:val="00B23067"/>
    <w:rsid w:val="00B4783D"/>
    <w:rsid w:val="00B8717B"/>
    <w:rsid w:val="00B96394"/>
    <w:rsid w:val="00BA0673"/>
    <w:rsid w:val="00BA7EF7"/>
    <w:rsid w:val="00BF7A52"/>
    <w:rsid w:val="00C04241"/>
    <w:rsid w:val="00C452F6"/>
    <w:rsid w:val="00CD10D7"/>
    <w:rsid w:val="00D04077"/>
    <w:rsid w:val="00D34A76"/>
    <w:rsid w:val="00D53C04"/>
    <w:rsid w:val="00D7000C"/>
    <w:rsid w:val="00D76F02"/>
    <w:rsid w:val="00D8051E"/>
    <w:rsid w:val="00DC16CE"/>
    <w:rsid w:val="00DD4FAA"/>
    <w:rsid w:val="00DF6067"/>
    <w:rsid w:val="00E04781"/>
    <w:rsid w:val="00E1134A"/>
    <w:rsid w:val="00EA4473"/>
    <w:rsid w:val="00EB378F"/>
    <w:rsid w:val="00F06CA4"/>
    <w:rsid w:val="00F17BBB"/>
    <w:rsid w:val="00F4608B"/>
    <w:rsid w:val="00F74F6C"/>
    <w:rsid w:val="00FC12AF"/>
    <w:rsid w:val="00FC5756"/>
    <w:rsid w:val="00FD4169"/>
    <w:rsid w:val="00FD6E25"/>
    <w:rsid w:val="00FE73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2">
    <w:name w:val="heading 2"/>
    <w:basedOn w:val="Normal"/>
    <w:qFormat/>
    <w:pPr>
      <w:widowControl/>
      <w:spacing w:before="100" w:beforeAutospacing="1" w:after="100" w:afterAutospacing="1"/>
      <w:outlineLvl w:val="1"/>
    </w:pPr>
    <w:rPr>
      <w:b/>
      <w:bCs/>
      <w:snapToGrid/>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866ED"/>
    <w:rPr>
      <w:rFonts w:ascii="Tahoma" w:hAnsi="Tahoma" w:cs="Tahoma"/>
      <w:sz w:val="16"/>
      <w:szCs w:val="16"/>
    </w:rPr>
  </w:style>
  <w:style w:type="character" w:customStyle="1" w:styleId="BalloonTextChar">
    <w:name w:val="Balloon Text Char"/>
    <w:link w:val="BalloonText"/>
    <w:uiPriority w:val="99"/>
    <w:semiHidden/>
    <w:rsid w:val="000866ED"/>
    <w:rPr>
      <w:rFonts w:ascii="Tahoma" w:hAnsi="Tahoma" w:cs="Tahoma"/>
      <w:snapToGrid/>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ton.merck@duk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h@duk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HISTORY 189b—SPRING 2008</vt:lpstr>
    </vt:vector>
  </TitlesOfParts>
  <Company>Duke University</Company>
  <LinksUpToDate>false</LinksUpToDate>
  <CharactersWithSpaces>11291</CharactersWithSpaces>
  <SharedDoc>false</SharedDoc>
  <HLinks>
    <vt:vector size="18" baseType="variant">
      <vt:variant>
        <vt:i4>3801205</vt:i4>
      </vt:variant>
      <vt:variant>
        <vt:i4>6</vt:i4>
      </vt:variant>
      <vt:variant>
        <vt:i4>0</vt:i4>
      </vt:variant>
      <vt:variant>
        <vt:i4>5</vt:i4>
      </vt:variant>
      <vt:variant>
        <vt:lpwstr>http://www.cdc.gov/</vt:lpwstr>
      </vt:variant>
      <vt:variant>
        <vt:lpwstr/>
      </vt:variant>
      <vt:variant>
        <vt:i4>7077906</vt:i4>
      </vt:variant>
      <vt:variant>
        <vt:i4>3</vt:i4>
      </vt:variant>
      <vt:variant>
        <vt:i4>0</vt:i4>
      </vt:variant>
      <vt:variant>
        <vt:i4>5</vt:i4>
      </vt:variant>
      <vt:variant>
        <vt:lpwstr>mailto:ashton.merck@duke.edu</vt:lpwstr>
      </vt:variant>
      <vt:variant>
        <vt:lpwstr/>
      </vt:variant>
      <vt:variant>
        <vt:i4>2228250</vt:i4>
      </vt:variant>
      <vt:variant>
        <vt:i4>0</vt:i4>
      </vt:variant>
      <vt:variant>
        <vt:i4>0</vt:i4>
      </vt:variant>
      <vt:variant>
        <vt:i4>5</vt:i4>
      </vt:variant>
      <vt:variant>
        <vt:lpwstr>mailto:meh@duke.edu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189b—SPRING 2008</dc:title>
  <dc:creator>Arts and Sciences</dc:creator>
  <cp:lastModifiedBy>Ted Kerin</cp:lastModifiedBy>
  <cp:revision>2</cp:revision>
  <cp:lastPrinted>2014-08-20T14:02:00Z</cp:lastPrinted>
  <dcterms:created xsi:type="dcterms:W3CDTF">2015-08-11T23:53:00Z</dcterms:created>
  <dcterms:modified xsi:type="dcterms:W3CDTF">2015-08-11T23:53:00Z</dcterms:modified>
</cp:coreProperties>
</file>